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E4" w:rsidRDefault="00A911E4" w:rsidP="00A911E4">
      <w:pPr>
        <w:spacing w:after="0" w:line="480" w:lineRule="auto"/>
        <w:rPr>
          <w:b/>
        </w:rPr>
      </w:pPr>
      <w:r>
        <w:rPr>
          <w:noProof/>
        </w:rPr>
        <w:drawing>
          <wp:inline distT="0" distB="0" distL="0" distR="0" wp14:anchorId="4ED7DA60" wp14:editId="49E16D4A">
            <wp:extent cx="2019300" cy="637313"/>
            <wp:effectExtent l="0" t="0" r="0" b="0"/>
            <wp:docPr id="2" name="Picture 2" descr="Salisbu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365" cy="657848"/>
                    </a:xfrm>
                    <a:prstGeom prst="rect">
                      <a:avLst/>
                    </a:prstGeom>
                    <a:noFill/>
                    <a:ln>
                      <a:noFill/>
                    </a:ln>
                  </pic:spPr>
                </pic:pic>
              </a:graphicData>
            </a:graphic>
          </wp:inline>
        </w:drawing>
      </w:r>
    </w:p>
    <w:p w:rsidR="00E90E54" w:rsidRPr="005D67DA" w:rsidRDefault="00E90E54" w:rsidP="00C93AB2">
      <w:pPr>
        <w:spacing w:after="0" w:line="276" w:lineRule="auto"/>
        <w:jc w:val="center"/>
        <w:rPr>
          <w:b/>
        </w:rPr>
      </w:pPr>
      <w:r w:rsidRPr="005D67DA">
        <w:rPr>
          <w:b/>
        </w:rPr>
        <w:t>Evaluation of the Seidel School Dispositional Expectations Policy (SSDEP) Assessment Survey: Student Version</w:t>
      </w:r>
    </w:p>
    <w:p w:rsidR="0095254C" w:rsidRDefault="00C949F0" w:rsidP="005D67DA">
      <w:pPr>
        <w:spacing w:after="0" w:line="480" w:lineRule="auto"/>
        <w:rPr>
          <w:b/>
        </w:rPr>
      </w:pPr>
      <w:r>
        <w:rPr>
          <w:b/>
        </w:rPr>
        <w:t xml:space="preserve">Section I. </w:t>
      </w:r>
      <w:r w:rsidR="0095254C">
        <w:rPr>
          <w:b/>
        </w:rPr>
        <w:t xml:space="preserve">Introduction </w:t>
      </w:r>
      <w:bookmarkStart w:id="0" w:name="_GoBack"/>
      <w:bookmarkEnd w:id="0"/>
    </w:p>
    <w:p w:rsidR="0095254C" w:rsidRPr="00D974A3" w:rsidRDefault="00F118D8" w:rsidP="00091A9B">
      <w:pPr>
        <w:spacing w:after="0"/>
      </w:pPr>
      <w:r w:rsidRPr="00F118D8">
        <w:t xml:space="preserve">The following report </w:t>
      </w:r>
      <w:r w:rsidR="009737E1">
        <w:t xml:space="preserve">briefly </w:t>
      </w:r>
      <w:r>
        <w:t xml:space="preserve">summarizes results from the </w:t>
      </w:r>
      <w:r w:rsidR="00835ACF">
        <w:t xml:space="preserve">psychometric evaluation of the </w:t>
      </w:r>
      <w:r w:rsidRPr="00F118D8">
        <w:t>School Dispositional Expectations Policy (SSDEP) Assessment Survey: Student Version</w:t>
      </w:r>
      <w:r w:rsidR="002060E9">
        <w:t xml:space="preserve">. The results summarized </w:t>
      </w:r>
      <w:r w:rsidR="00435A07">
        <w:t xml:space="preserve">here </w:t>
      </w:r>
      <w:r w:rsidR="002060E9">
        <w:t xml:space="preserve">are based on the pilot testing of the revised </w:t>
      </w:r>
      <w:r w:rsidR="006B63A7">
        <w:t>dispositions survey (</w:t>
      </w:r>
      <w:r w:rsidR="00044023">
        <w:t>V</w:t>
      </w:r>
      <w:r w:rsidR="006B63A7">
        <w:t xml:space="preserve">ersion 2). </w:t>
      </w:r>
      <w:r w:rsidR="00D974A3">
        <w:t>Students/candidates (</w:t>
      </w:r>
      <w:r w:rsidR="00D974A3">
        <w:rPr>
          <w:i/>
        </w:rPr>
        <w:t>N</w:t>
      </w:r>
      <w:r w:rsidR="00D974A3">
        <w:t>=203</w:t>
      </w:r>
      <w:r w:rsidR="000B0C74">
        <w:t>, after data cleaning</w:t>
      </w:r>
      <w:r w:rsidR="00D974A3">
        <w:t xml:space="preserve">) completed the dispositions survey across the fall, 2018, winter, 2019, and spring, 2019 semesters. </w:t>
      </w:r>
      <w:r w:rsidR="00091A9B">
        <w:t xml:space="preserve">Notes outlining in more detail specific statistical procedures and analyses are appended to this document. </w:t>
      </w:r>
    </w:p>
    <w:p w:rsidR="00F118D8" w:rsidRPr="00F118D8" w:rsidRDefault="00F118D8" w:rsidP="00F118D8">
      <w:pPr>
        <w:spacing w:after="0" w:line="240" w:lineRule="auto"/>
      </w:pPr>
    </w:p>
    <w:p w:rsidR="00F118D8" w:rsidRDefault="00582561" w:rsidP="00F118D8">
      <w:pPr>
        <w:spacing w:after="0" w:line="480" w:lineRule="auto"/>
        <w:rPr>
          <w:b/>
        </w:rPr>
      </w:pPr>
      <w:r>
        <w:rPr>
          <w:b/>
        </w:rPr>
        <w:t xml:space="preserve">Section II. </w:t>
      </w:r>
      <w:r w:rsidR="00E90E54" w:rsidRPr="005D67DA">
        <w:rPr>
          <w:b/>
        </w:rPr>
        <w:t xml:space="preserve">Analysis of the Factor Structure of the SSDEP Survey: Student Version </w:t>
      </w:r>
    </w:p>
    <w:p w:rsidR="00E90E54" w:rsidRDefault="00E90E54" w:rsidP="00F118D8">
      <w:pPr>
        <w:spacing w:after="0" w:line="276" w:lineRule="auto"/>
      </w:pPr>
      <w:r w:rsidRPr="00E90E54">
        <w:t>To</w:t>
      </w:r>
      <w:r w:rsidR="00C9583A">
        <w:t xml:space="preserve"> </w:t>
      </w:r>
      <w:r w:rsidR="00BA6294">
        <w:t>examine</w:t>
      </w:r>
      <w:r w:rsidR="00C9583A">
        <w:t xml:space="preserve"> the factor structure of the </w:t>
      </w:r>
      <w:r w:rsidR="00C9583A" w:rsidRPr="00C9583A">
        <w:t>SSDEP Survey: Student Version</w:t>
      </w:r>
      <w:r w:rsidR="00BA6294">
        <w:t xml:space="preserve"> and evaluate the alignment of existing survey responses with </w:t>
      </w:r>
      <w:r w:rsidR="00C9583A">
        <w:t>the proposed structure of the instrument</w:t>
      </w:r>
      <w:r w:rsidRPr="00E90E54">
        <w:t>, confirmatory factor analysis (CFA) w</w:t>
      </w:r>
      <w:r w:rsidR="00BA6294">
        <w:t>as conducted in Mplus (Version 8</w:t>
      </w:r>
      <w:r w:rsidRPr="00E90E54">
        <w:t xml:space="preserve">; Muthén &amp; Muthén, 2010; 2012). To adequately analyze the </w:t>
      </w:r>
      <w:r>
        <w:t xml:space="preserve">item-level, Likert scale data, </w:t>
      </w:r>
      <w:r w:rsidRPr="00E90E54">
        <w:t>robust weighted least squares (WLSMV) estimation was used</w:t>
      </w:r>
      <w:r w:rsidR="00350368">
        <w:t xml:space="preserve"> in Mplus</w:t>
      </w:r>
      <w:r w:rsidRPr="00E90E54">
        <w:t xml:space="preserve">. </w:t>
      </w:r>
      <w:r>
        <w:t>WLSMV estimation effectively estimates latent factors underlying</w:t>
      </w:r>
      <w:r w:rsidR="00A83E4E">
        <w:t xml:space="preserve"> Likert scale,</w:t>
      </w:r>
      <w:r>
        <w:t xml:space="preserve"> item-level data and is </w:t>
      </w:r>
      <w:r w:rsidR="006C3F0C">
        <w:t>based</w:t>
      </w:r>
      <w:r>
        <w:t xml:space="preserve"> on</w:t>
      </w:r>
      <w:r w:rsidR="000A25D7">
        <w:t xml:space="preserve"> the use of probit regressions.</w:t>
      </w:r>
      <w:r>
        <w:t xml:space="preserve"> </w:t>
      </w:r>
      <w:r w:rsidR="000A25D7" w:rsidRPr="00E90E54">
        <w:t xml:space="preserve">Recent work has supported the use of WLSMV with categorical and continuous non-normal variables (Flora &amp; Curran, 2004; Li, 2014). </w:t>
      </w:r>
      <w:r w:rsidRPr="00E90E54">
        <w:t>Following previous recommendations for latent variable models (Hu &amp; Bentler, 1999) and</w:t>
      </w:r>
      <w:r w:rsidR="00457D86">
        <w:t>, in particular,</w:t>
      </w:r>
      <w:r w:rsidRPr="00E90E54">
        <w:t xml:space="preserve"> WLSMV-based </w:t>
      </w:r>
      <w:r w:rsidR="00457D86">
        <w:t xml:space="preserve">latent </w:t>
      </w:r>
      <w:r w:rsidR="0034518A">
        <w:t xml:space="preserve">factor </w:t>
      </w:r>
      <w:r w:rsidRPr="00E90E54">
        <w:t xml:space="preserve">models (Yu &amp; Muthén, 2002), model fit was assessed using the following indices and criteria: the root mean square error of approximation (RMSEA; value ≤ 0.06); the comparative fit index (CFI; value ≥ 0.95); the Tucker Lewis index (TLI; value ≥ 0.95); and the weighted root mean square residual (WRMR; value ≤ 1.00). </w:t>
      </w:r>
    </w:p>
    <w:p w:rsidR="002226D3" w:rsidRPr="00784404" w:rsidRDefault="002226D3" w:rsidP="00F118D8">
      <w:pPr>
        <w:spacing w:after="0" w:line="276" w:lineRule="auto"/>
        <w:rPr>
          <w:b/>
          <w:sz w:val="20"/>
        </w:rPr>
      </w:pPr>
    </w:p>
    <w:p w:rsidR="00874774" w:rsidRDefault="00E90E54" w:rsidP="00F118D8">
      <w:pPr>
        <w:spacing w:after="0" w:line="276" w:lineRule="auto"/>
      </w:pPr>
      <w:r w:rsidRPr="00E90E54">
        <w:t xml:space="preserve">A </w:t>
      </w:r>
      <w:r w:rsidR="00654F0C">
        <w:t>five</w:t>
      </w:r>
      <w:r w:rsidRPr="00E90E54">
        <w:t xml:space="preserve"> factor solution was specified and tested, </w:t>
      </w:r>
      <w:r w:rsidR="00654F0C">
        <w:t xml:space="preserve">consistent with the proposed structure of the instrument, based on the following factor-item breakdown: </w:t>
      </w:r>
      <w:r w:rsidR="004E43B4">
        <w:t xml:space="preserve">Factor 1: </w:t>
      </w:r>
      <w:r w:rsidR="004E43B4" w:rsidRPr="004E43B4">
        <w:t>Commitment to the Ideals of the Teaching Profession</w:t>
      </w:r>
      <w:r w:rsidR="004E43B4">
        <w:t xml:space="preserve"> (items 1-5); Factor 2: </w:t>
      </w:r>
      <w:r w:rsidR="004E43B4" w:rsidRPr="004E43B4">
        <w:t>Commitment to Professional Ethical Standards</w:t>
      </w:r>
      <w:r w:rsidR="004E43B4">
        <w:t xml:space="preserve"> (items 6-10); Factor 3: </w:t>
      </w:r>
      <w:r w:rsidR="004E43B4" w:rsidRPr="004E43B4">
        <w:t>Commitment to Professional Knowledge</w:t>
      </w:r>
      <w:r w:rsidR="004E43B4">
        <w:t xml:space="preserve"> (items 11-15); Factor 4: </w:t>
      </w:r>
      <w:r w:rsidR="004E43B4" w:rsidRPr="004E43B4">
        <w:t>Commitment to the School Community</w:t>
      </w:r>
      <w:r w:rsidR="004E43B4">
        <w:t xml:space="preserve"> (items 16-20); </w:t>
      </w:r>
      <w:r w:rsidR="00CD7D37">
        <w:t xml:space="preserve">and </w:t>
      </w:r>
      <w:r w:rsidR="004E43B4">
        <w:t xml:space="preserve">Factor 5: </w:t>
      </w:r>
      <w:r w:rsidR="004E43B4" w:rsidRPr="004E43B4">
        <w:t>Commitment to Professional Colleagues, Faculty, and Fellow Students</w:t>
      </w:r>
      <w:r w:rsidR="004E43B4">
        <w:t xml:space="preserve"> (items 21-25)</w:t>
      </w:r>
      <w:r w:rsidRPr="00E90E54">
        <w:t>. Non-standard procedures, including user-specified starting values and an increasing of the number of iterations</w:t>
      </w:r>
      <w:r w:rsidR="006B3F1B">
        <w:t xml:space="preserve"> for the WLSMV-estimated model</w:t>
      </w:r>
      <w:r w:rsidRPr="00E90E54">
        <w:t xml:space="preserve">, were not </w:t>
      </w:r>
      <w:r w:rsidR="00FA3A5B">
        <w:t>employed</w:t>
      </w:r>
      <w:r w:rsidRPr="00E90E54">
        <w:t xml:space="preserve">. Model fit was </w:t>
      </w:r>
      <w:r w:rsidR="0057265B">
        <w:t>adequate</w:t>
      </w:r>
      <w:r w:rsidRPr="00E90E54">
        <w:t xml:space="preserve">, </w:t>
      </w:r>
      <w:proofErr w:type="gramStart"/>
      <w:r w:rsidRPr="00E90E54">
        <w:rPr>
          <w:i/>
        </w:rPr>
        <w:t>χ</w:t>
      </w:r>
      <w:r w:rsidRPr="00E90E54">
        <w:rPr>
          <w:vertAlign w:val="superscript"/>
        </w:rPr>
        <w:t>2</w:t>
      </w:r>
      <w:r w:rsidRPr="00E90E54">
        <w:t>(</w:t>
      </w:r>
      <w:proofErr w:type="gramEnd"/>
      <w:r w:rsidRPr="00E90E54">
        <w:t>2</w:t>
      </w:r>
      <w:r w:rsidR="007E264F">
        <w:t>65</w:t>
      </w:r>
      <w:r w:rsidRPr="00E90E54">
        <w:t>)=</w:t>
      </w:r>
      <w:r w:rsidR="007E264F">
        <w:t>423.01</w:t>
      </w:r>
      <w:r w:rsidRPr="00E90E54">
        <w:t xml:space="preserve">, </w:t>
      </w:r>
      <w:r w:rsidRPr="00E90E54">
        <w:rPr>
          <w:i/>
        </w:rPr>
        <w:t>p</w:t>
      </w:r>
      <w:r w:rsidR="007E264F">
        <w:rPr>
          <w:i/>
        </w:rPr>
        <w:t xml:space="preserve"> </w:t>
      </w:r>
      <w:r w:rsidR="007E264F">
        <w:t>&lt; .05</w:t>
      </w:r>
      <w:r w:rsidRPr="00E90E54">
        <w:t xml:space="preserve">, </w:t>
      </w:r>
      <w:r w:rsidRPr="00E90E54">
        <w:rPr>
          <w:vertAlign w:val="superscript"/>
        </w:rPr>
        <w:t xml:space="preserve"> </w:t>
      </w:r>
      <w:r w:rsidRPr="00E90E54">
        <w:rPr>
          <w:i/>
        </w:rPr>
        <w:t>χ</w:t>
      </w:r>
      <w:r w:rsidRPr="00E90E54">
        <w:rPr>
          <w:vertAlign w:val="superscript"/>
        </w:rPr>
        <w:t>2</w:t>
      </w:r>
      <w:r w:rsidRPr="00E90E54">
        <w:t>/</w:t>
      </w:r>
      <w:r w:rsidRPr="00E90E54">
        <w:rPr>
          <w:i/>
        </w:rPr>
        <w:t>df</w:t>
      </w:r>
      <w:r w:rsidR="007E264F">
        <w:t>=1.60</w:t>
      </w:r>
      <w:r w:rsidRPr="00E90E54">
        <w:t>, CFI=0.9</w:t>
      </w:r>
      <w:r w:rsidR="007E264F">
        <w:t>7</w:t>
      </w:r>
      <w:r w:rsidRPr="00E90E54">
        <w:t>, TLI=0.9</w:t>
      </w:r>
      <w:r w:rsidR="007E264F">
        <w:t>6, RMSEA=0.05</w:t>
      </w:r>
      <w:r w:rsidRPr="00E90E54">
        <w:t xml:space="preserve">, 90% RMSEA CI </w:t>
      </w:r>
      <w:r w:rsidR="007E264F">
        <w:t>[0.04, 0.06</w:t>
      </w:r>
      <w:r w:rsidRPr="00E90E54">
        <w:t xml:space="preserve">], </w:t>
      </w:r>
      <w:r w:rsidR="007E264F">
        <w:t>WRMR=0.89</w:t>
      </w:r>
      <w:r w:rsidRPr="00E90E54">
        <w:t xml:space="preserve">. </w:t>
      </w:r>
      <w:r w:rsidR="00687AE6">
        <w:t>All standardized item loadings exceeded 0.60</w:t>
      </w:r>
      <w:r w:rsidR="00A1780A">
        <w:t xml:space="preserve"> (see Figure 1)</w:t>
      </w:r>
      <w:r w:rsidR="00D91443">
        <w:t xml:space="preserve">, suggesting that responses on the </w:t>
      </w:r>
      <w:r w:rsidR="00164301">
        <w:t xml:space="preserve">25 </w:t>
      </w:r>
      <w:r w:rsidR="00D91443">
        <w:t>items aligned well with the proposed structure of the instrument</w:t>
      </w:r>
      <w:r w:rsidR="00687AE6">
        <w:t xml:space="preserve">. </w:t>
      </w:r>
      <w:r w:rsidRPr="00E90E54">
        <w:t xml:space="preserve">Composite scores were then calculated </w:t>
      </w:r>
      <w:r w:rsidR="00451243">
        <w:t>by taking the mean</w:t>
      </w:r>
      <w:r w:rsidRPr="00E90E54">
        <w:t xml:space="preserve"> across </w:t>
      </w:r>
      <w:r w:rsidR="00451243">
        <w:t>each item set</w:t>
      </w:r>
      <w:r w:rsidR="00F34B88">
        <w:t xml:space="preserve"> represen</w:t>
      </w:r>
      <w:r w:rsidR="00CB269F">
        <w:t>ting each broad commitment area</w:t>
      </w:r>
      <w:r w:rsidR="00451243">
        <w:t xml:space="preserve"> (where plausible value</w:t>
      </w:r>
      <w:r w:rsidR="007F0BDC">
        <w:t>s could range from 1.00</w:t>
      </w:r>
      <w:r w:rsidR="00D96E7D">
        <w:t>, ‘Unacceptable’,</w:t>
      </w:r>
      <w:r w:rsidR="007F0BDC">
        <w:t xml:space="preserve"> to 4.00</w:t>
      </w:r>
      <w:r w:rsidR="00D96E7D">
        <w:t>, ‘Exemplary’,</w:t>
      </w:r>
      <w:r w:rsidR="007F0BDC">
        <w:t xml:space="preserve"> after recoding for the </w:t>
      </w:r>
      <w:r w:rsidR="00EB3743">
        <w:t>‘N</w:t>
      </w:r>
      <w:r w:rsidR="007F0BDC">
        <w:t>ot applicable</w:t>
      </w:r>
      <w:r w:rsidR="00EB3743">
        <w:t>’</w:t>
      </w:r>
      <w:r w:rsidR="007F0BDC">
        <w:t xml:space="preserve"> response option)</w:t>
      </w:r>
      <w:r w:rsidRPr="00E90E54">
        <w:t>.</w:t>
      </w:r>
      <w:r w:rsidR="00947663">
        <w:t xml:space="preserve"> </w:t>
      </w:r>
    </w:p>
    <w:p w:rsidR="006024E4" w:rsidRDefault="006024E4" w:rsidP="005D67DA">
      <w:pPr>
        <w:spacing w:after="0" w:line="480" w:lineRule="auto"/>
      </w:pPr>
      <w:r>
        <w:lastRenderedPageBreak/>
        <w:t xml:space="preserve">Figure 1. Statistical Model Depicting Abbreviated Results of the Confirmatory Factory Analysis </w:t>
      </w:r>
    </w:p>
    <w:p w:rsidR="006024E4" w:rsidRDefault="006024E4" w:rsidP="006024E4">
      <w:pPr>
        <w:spacing w:after="0" w:line="480" w:lineRule="auto"/>
        <w:jc w:val="center"/>
      </w:pPr>
      <w:r>
        <w:rPr>
          <w:noProof/>
        </w:rPr>
        <w:drawing>
          <wp:inline distT="0" distB="0" distL="0" distR="0" wp14:anchorId="3DA63CCC" wp14:editId="23DC7C76">
            <wp:extent cx="3498215" cy="6607534"/>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8180" cy="6645245"/>
                    </a:xfrm>
                    <a:prstGeom prst="rect">
                      <a:avLst/>
                    </a:prstGeom>
                  </pic:spPr>
                </pic:pic>
              </a:graphicData>
            </a:graphic>
          </wp:inline>
        </w:drawing>
      </w:r>
    </w:p>
    <w:p w:rsidR="006024E4" w:rsidRDefault="007A6AAB" w:rsidP="00DB7510">
      <w:pPr>
        <w:spacing w:after="0" w:line="240" w:lineRule="auto"/>
      </w:pPr>
      <w:r w:rsidRPr="007A6AAB">
        <w:rPr>
          <w:i/>
        </w:rPr>
        <w:t>Note</w:t>
      </w:r>
      <w:r w:rsidRPr="007A6AAB">
        <w:t xml:space="preserve">. </w:t>
      </w:r>
      <w:r w:rsidR="00DB7510">
        <w:t xml:space="preserve">Values extending from individual items reflect standardized </w:t>
      </w:r>
      <w:r w:rsidR="00F7480E">
        <w:t xml:space="preserve">item </w:t>
      </w:r>
      <w:r w:rsidR="00DB7510">
        <w:t>loadings. Com 1=</w:t>
      </w:r>
      <w:r w:rsidR="00DB7510" w:rsidRPr="004E43B4">
        <w:t>Commitment to the Ideals of the Teaching Profession</w:t>
      </w:r>
      <w:r w:rsidR="00DB7510">
        <w:t xml:space="preserve"> (items 1-5); Com 2=</w:t>
      </w:r>
      <w:r w:rsidR="00DB7510" w:rsidRPr="004E43B4">
        <w:t>Commitment to Professional Ethical Standards</w:t>
      </w:r>
      <w:r w:rsidR="00DB7510">
        <w:t xml:space="preserve"> (items 6-10); Com 3=</w:t>
      </w:r>
      <w:r w:rsidR="00DB7510" w:rsidRPr="004E43B4">
        <w:t>Commitment to Professional Knowledge</w:t>
      </w:r>
      <w:r w:rsidR="00DB7510">
        <w:t xml:space="preserve"> (items 11-15); Com 4=</w:t>
      </w:r>
      <w:r w:rsidR="00DB7510" w:rsidRPr="004E43B4">
        <w:t>Commitment to the School Community</w:t>
      </w:r>
      <w:r w:rsidR="00DB7510">
        <w:t xml:space="preserve"> (items 16-20); and Com 5=</w:t>
      </w:r>
      <w:r w:rsidR="00DB7510" w:rsidRPr="004E43B4">
        <w:t>Commitment to Professional Colleagues, Faculty, and Fellow Students</w:t>
      </w:r>
      <w:r w:rsidR="00DB7510">
        <w:t xml:space="preserve"> (items 21-25). </w:t>
      </w:r>
    </w:p>
    <w:p w:rsidR="00DB7510" w:rsidRPr="00073B97" w:rsidRDefault="00DB7510" w:rsidP="00DB7510">
      <w:pPr>
        <w:spacing w:after="0" w:line="240" w:lineRule="auto"/>
      </w:pPr>
    </w:p>
    <w:p w:rsidR="00705367" w:rsidRDefault="00F93FC3" w:rsidP="006024E4">
      <w:pPr>
        <w:spacing w:after="0" w:line="480" w:lineRule="auto"/>
        <w:rPr>
          <w:b/>
        </w:rPr>
      </w:pPr>
      <w:r>
        <w:rPr>
          <w:b/>
        </w:rPr>
        <w:lastRenderedPageBreak/>
        <w:t xml:space="preserve">Section III. </w:t>
      </w:r>
      <w:r w:rsidR="007F0BDC" w:rsidRPr="00782ADE">
        <w:rPr>
          <w:b/>
        </w:rPr>
        <w:t>Reliability Evidence of the SSDEP Survey: Student Version</w:t>
      </w:r>
    </w:p>
    <w:p w:rsidR="00705367" w:rsidRDefault="00705367" w:rsidP="0032768F">
      <w:pPr>
        <w:spacing w:after="0"/>
      </w:pPr>
      <w:r>
        <w:t>To evaluate reliability evidence for the items used in the alumni survey, internal consistency reliability was examined. Internal consistency reliability is commonly used to evaluate the reliability of a set of test or questionnaire items. Internal consistency reliability provides an indication of an instrument’s reliability by estimating the extent to which items on an instrument consistently measure the same construct (e.g., intern performance).</w:t>
      </w:r>
      <w:r>
        <w:rPr>
          <w:vertAlign w:val="superscript"/>
        </w:rPr>
        <w:t xml:space="preserve">1 </w:t>
      </w:r>
      <w:r>
        <w:t xml:space="preserve">Reliability for </w:t>
      </w:r>
      <w:r w:rsidR="00721CC1">
        <w:t xml:space="preserve">scores on </w:t>
      </w:r>
      <w:r w:rsidR="00B827A7">
        <w:t>the</w:t>
      </w:r>
      <w:r>
        <w:t xml:space="preserve"> SSDEP Survey: Student Version </w:t>
      </w:r>
      <w:r w:rsidR="00B6734A">
        <w:t xml:space="preserve">items </w:t>
      </w:r>
      <w:r>
        <w:t xml:space="preserve">overall was strong (α=0.95). Category-level reliabilities are presented in Table </w:t>
      </w:r>
      <w:r w:rsidR="00915E7E">
        <w:t xml:space="preserve">1. </w:t>
      </w:r>
    </w:p>
    <w:p w:rsidR="0032768F" w:rsidRDefault="0032768F" w:rsidP="0032768F">
      <w:pPr>
        <w:spacing w:after="0"/>
      </w:pPr>
    </w:p>
    <w:p w:rsidR="00705367" w:rsidRPr="00705367" w:rsidRDefault="00705367" w:rsidP="0092206D">
      <w:pPr>
        <w:spacing w:after="0"/>
      </w:pPr>
      <w:r>
        <w:rPr>
          <w:i/>
        </w:rPr>
        <w:t>Table 1</w:t>
      </w:r>
      <w:r>
        <w:t>. Reliability Evidence for Specific Categories/Scales of the SSDEP Survey: Student Version</w:t>
      </w:r>
    </w:p>
    <w:tbl>
      <w:tblPr>
        <w:tblStyle w:val="TableGrid"/>
        <w:tblW w:w="0" w:type="auto"/>
        <w:tblLook w:val="04A0" w:firstRow="1" w:lastRow="0" w:firstColumn="1" w:lastColumn="0" w:noHBand="0" w:noVBand="1"/>
      </w:tblPr>
      <w:tblGrid>
        <w:gridCol w:w="6925"/>
        <w:gridCol w:w="2425"/>
      </w:tblGrid>
      <w:tr w:rsidR="00C33EC3" w:rsidTr="00C33EC3">
        <w:tc>
          <w:tcPr>
            <w:tcW w:w="6925" w:type="dxa"/>
            <w:vAlign w:val="center"/>
          </w:tcPr>
          <w:p w:rsidR="00C33EC3" w:rsidRPr="008947A6" w:rsidRDefault="00C33EC3" w:rsidP="00C33EC3">
            <w:r w:rsidRPr="008947A6">
              <w:t>Survey: Student Version: Dispositions Category/Scale</w:t>
            </w:r>
          </w:p>
        </w:tc>
        <w:tc>
          <w:tcPr>
            <w:tcW w:w="2425" w:type="dxa"/>
            <w:vAlign w:val="center"/>
          </w:tcPr>
          <w:p w:rsidR="00C33EC3" w:rsidRDefault="00C33EC3" w:rsidP="00C33EC3">
            <w:pPr>
              <w:jc w:val="center"/>
            </w:pPr>
            <w:r>
              <w:rPr>
                <w:rFonts w:cstheme="minorHAnsi"/>
              </w:rPr>
              <w:t>α</w:t>
            </w:r>
          </w:p>
        </w:tc>
      </w:tr>
      <w:tr w:rsidR="00C33EC3" w:rsidTr="00C33EC3">
        <w:tc>
          <w:tcPr>
            <w:tcW w:w="6925" w:type="dxa"/>
            <w:vAlign w:val="center"/>
          </w:tcPr>
          <w:p w:rsidR="00C33EC3" w:rsidRDefault="00C33EC3" w:rsidP="00C33EC3">
            <w:r w:rsidRPr="004E43B4">
              <w:t>Commitment to the Ideals of the Teaching Profession</w:t>
            </w:r>
          </w:p>
        </w:tc>
        <w:tc>
          <w:tcPr>
            <w:tcW w:w="2425" w:type="dxa"/>
            <w:vAlign w:val="center"/>
          </w:tcPr>
          <w:p w:rsidR="00C33EC3" w:rsidRDefault="008C03F0" w:rsidP="00C33EC3">
            <w:pPr>
              <w:jc w:val="center"/>
            </w:pPr>
            <w:r>
              <w:t>0.78</w:t>
            </w:r>
          </w:p>
        </w:tc>
      </w:tr>
      <w:tr w:rsidR="00C33EC3" w:rsidTr="00C33EC3">
        <w:tc>
          <w:tcPr>
            <w:tcW w:w="6925" w:type="dxa"/>
            <w:vAlign w:val="center"/>
          </w:tcPr>
          <w:p w:rsidR="00C33EC3" w:rsidRDefault="00C33EC3" w:rsidP="00C33EC3">
            <w:r w:rsidRPr="004E43B4">
              <w:t>Commitment to Professional Ethical Standards</w:t>
            </w:r>
          </w:p>
        </w:tc>
        <w:tc>
          <w:tcPr>
            <w:tcW w:w="2425" w:type="dxa"/>
            <w:vAlign w:val="center"/>
          </w:tcPr>
          <w:p w:rsidR="00C33EC3" w:rsidRDefault="008C03F0" w:rsidP="00C33EC3">
            <w:pPr>
              <w:jc w:val="center"/>
            </w:pPr>
            <w:r>
              <w:t>0.84</w:t>
            </w:r>
          </w:p>
        </w:tc>
      </w:tr>
      <w:tr w:rsidR="00C33EC3" w:rsidTr="00C33EC3">
        <w:tc>
          <w:tcPr>
            <w:tcW w:w="6925" w:type="dxa"/>
            <w:vAlign w:val="center"/>
          </w:tcPr>
          <w:p w:rsidR="00C33EC3" w:rsidRDefault="00C33EC3" w:rsidP="00C33EC3">
            <w:r w:rsidRPr="004E43B4">
              <w:t>Commitment to Professional Knowledge</w:t>
            </w:r>
          </w:p>
        </w:tc>
        <w:tc>
          <w:tcPr>
            <w:tcW w:w="2425" w:type="dxa"/>
            <w:vAlign w:val="center"/>
          </w:tcPr>
          <w:p w:rsidR="00C33EC3" w:rsidRDefault="007107AC" w:rsidP="00C33EC3">
            <w:pPr>
              <w:jc w:val="center"/>
            </w:pPr>
            <w:r>
              <w:t>0.76</w:t>
            </w:r>
          </w:p>
        </w:tc>
      </w:tr>
      <w:tr w:rsidR="00C33EC3" w:rsidTr="00C33EC3">
        <w:tc>
          <w:tcPr>
            <w:tcW w:w="6925" w:type="dxa"/>
            <w:vAlign w:val="center"/>
          </w:tcPr>
          <w:p w:rsidR="00C33EC3" w:rsidRDefault="00C33EC3" w:rsidP="00C33EC3">
            <w:r w:rsidRPr="004E43B4">
              <w:t>Commitment to the School Community</w:t>
            </w:r>
          </w:p>
        </w:tc>
        <w:tc>
          <w:tcPr>
            <w:tcW w:w="2425" w:type="dxa"/>
            <w:vAlign w:val="center"/>
          </w:tcPr>
          <w:p w:rsidR="00C33EC3" w:rsidRDefault="007107AC" w:rsidP="00C33EC3">
            <w:pPr>
              <w:jc w:val="center"/>
            </w:pPr>
            <w:r>
              <w:t>0.80</w:t>
            </w:r>
          </w:p>
        </w:tc>
      </w:tr>
      <w:tr w:rsidR="00C33EC3" w:rsidTr="00C33EC3">
        <w:tc>
          <w:tcPr>
            <w:tcW w:w="6925" w:type="dxa"/>
            <w:vAlign w:val="center"/>
          </w:tcPr>
          <w:p w:rsidR="00C33EC3" w:rsidRDefault="00C33EC3" w:rsidP="00C33EC3">
            <w:r w:rsidRPr="004E43B4">
              <w:t>Commitment to Professional Colleagues, Faculty, and Fellow Students</w:t>
            </w:r>
          </w:p>
        </w:tc>
        <w:tc>
          <w:tcPr>
            <w:tcW w:w="2425" w:type="dxa"/>
            <w:vAlign w:val="center"/>
          </w:tcPr>
          <w:p w:rsidR="00C33EC3" w:rsidRDefault="007107AC" w:rsidP="00C33EC3">
            <w:pPr>
              <w:jc w:val="center"/>
            </w:pPr>
            <w:r>
              <w:t>0.83</w:t>
            </w:r>
          </w:p>
        </w:tc>
      </w:tr>
    </w:tbl>
    <w:p w:rsidR="00915E7E" w:rsidRDefault="00915E7E" w:rsidP="005B5D20">
      <w:pPr>
        <w:spacing w:after="0"/>
      </w:pPr>
    </w:p>
    <w:p w:rsidR="00915E7E" w:rsidRDefault="00915E7E" w:rsidP="00FA77FA">
      <w:pPr>
        <w:spacing w:after="0"/>
      </w:pPr>
      <w:r>
        <w:t xml:space="preserve">Reliability for </w:t>
      </w:r>
      <w:r w:rsidR="003B476F">
        <w:t xml:space="preserve">scores on </w:t>
      </w:r>
      <w:r>
        <w:t>the</w:t>
      </w:r>
      <w:r w:rsidR="003B476F">
        <w:t xml:space="preserve"> specific categories/scales was adequate (i.e., all </w:t>
      </w:r>
      <w:r w:rsidR="003B476F">
        <w:rPr>
          <w:rFonts w:cstheme="minorHAnsi"/>
        </w:rPr>
        <w:t>α</w:t>
      </w:r>
      <w:r w:rsidR="003B476F">
        <w:t xml:space="preserve">s &gt; 0.70). </w:t>
      </w:r>
      <w:r>
        <w:t xml:space="preserve"> </w:t>
      </w:r>
    </w:p>
    <w:p w:rsidR="00FA77FA" w:rsidRDefault="00FA77FA" w:rsidP="00FA77FA">
      <w:pPr>
        <w:spacing w:after="0"/>
      </w:pPr>
    </w:p>
    <w:p w:rsidR="007F0BDC" w:rsidRDefault="00704F6E" w:rsidP="005D67DA">
      <w:pPr>
        <w:spacing w:after="0" w:line="480" w:lineRule="auto"/>
        <w:rPr>
          <w:b/>
        </w:rPr>
      </w:pPr>
      <w:r>
        <w:rPr>
          <w:b/>
        </w:rPr>
        <w:t xml:space="preserve">Section IV. </w:t>
      </w:r>
      <w:r w:rsidR="00DC15A4" w:rsidRPr="00782ADE">
        <w:rPr>
          <w:b/>
        </w:rPr>
        <w:t>Examination of Composite Scores and Composite Correlations</w:t>
      </w:r>
    </w:p>
    <w:p w:rsidR="00A43B3D" w:rsidRDefault="00C05176" w:rsidP="00C05176">
      <w:pPr>
        <w:spacing w:after="0" w:line="240" w:lineRule="auto"/>
      </w:pPr>
      <w:r w:rsidRPr="00C05176">
        <w:t>In the following table</w:t>
      </w:r>
      <w:r>
        <w:t xml:space="preserve"> (Table 2)</w:t>
      </w:r>
      <w:r w:rsidRPr="00C05176">
        <w:t xml:space="preserve">, </w:t>
      </w:r>
      <w:r>
        <w:t>category/scale-level descriptive inform</w:t>
      </w:r>
      <w:r w:rsidR="0032768F">
        <w:t>ation is presented. In general, candidate</w:t>
      </w:r>
      <w:r>
        <w:t xml:space="preserve">s’ </w:t>
      </w:r>
      <w:r w:rsidR="00166513">
        <w:t>reported scores on each of the f</w:t>
      </w:r>
      <w:r>
        <w:t xml:space="preserve">ive commitment areas were above the mid-point of the scale (2.00) and approached the higher end of the scale range (4.00). </w:t>
      </w:r>
    </w:p>
    <w:p w:rsidR="00C05176" w:rsidRPr="00C05176" w:rsidRDefault="00C05176" w:rsidP="00C05176">
      <w:pPr>
        <w:spacing w:after="0" w:line="240" w:lineRule="auto"/>
      </w:pPr>
    </w:p>
    <w:p w:rsidR="00A43B3D" w:rsidRPr="00A43B3D" w:rsidRDefault="00A43B3D" w:rsidP="00A43B3D">
      <w:pPr>
        <w:spacing w:after="0"/>
      </w:pPr>
      <w:r w:rsidRPr="00437872">
        <w:rPr>
          <w:i/>
        </w:rPr>
        <w:t xml:space="preserve">Table </w:t>
      </w:r>
      <w:r>
        <w:rPr>
          <w:i/>
        </w:rPr>
        <w:t>2</w:t>
      </w:r>
      <w:r>
        <w:t xml:space="preserve">. SSDEP Survey: Student Version – Category/Scale Descriptive Information </w:t>
      </w:r>
    </w:p>
    <w:tbl>
      <w:tblPr>
        <w:tblStyle w:val="TableGrid"/>
        <w:tblW w:w="0" w:type="auto"/>
        <w:tblLook w:val="04A0" w:firstRow="1" w:lastRow="0" w:firstColumn="1" w:lastColumn="0" w:noHBand="0" w:noVBand="1"/>
      </w:tblPr>
      <w:tblGrid>
        <w:gridCol w:w="4225"/>
        <w:gridCol w:w="1281"/>
        <w:gridCol w:w="1281"/>
        <w:gridCol w:w="1281"/>
        <w:gridCol w:w="1282"/>
      </w:tblGrid>
      <w:tr w:rsidR="00EB1715" w:rsidTr="00E93538">
        <w:tc>
          <w:tcPr>
            <w:tcW w:w="4225" w:type="dxa"/>
          </w:tcPr>
          <w:p w:rsidR="00EB1715" w:rsidRPr="008947A6" w:rsidRDefault="00EB1715" w:rsidP="005C5570">
            <w:r w:rsidRPr="008947A6">
              <w:t>SSDEP Survey: Dispositions Commitment</w:t>
            </w:r>
          </w:p>
        </w:tc>
        <w:tc>
          <w:tcPr>
            <w:tcW w:w="1281" w:type="dxa"/>
          </w:tcPr>
          <w:p w:rsidR="00EB1715" w:rsidRDefault="00EB1715" w:rsidP="005C5570">
            <w:pPr>
              <w:jc w:val="center"/>
            </w:pPr>
            <w:r>
              <w:t>Mean</w:t>
            </w:r>
          </w:p>
        </w:tc>
        <w:tc>
          <w:tcPr>
            <w:tcW w:w="1281" w:type="dxa"/>
          </w:tcPr>
          <w:p w:rsidR="00EB1715" w:rsidRDefault="00EB1715" w:rsidP="005C5570">
            <w:pPr>
              <w:jc w:val="center"/>
            </w:pPr>
            <w:r>
              <w:t>Median</w:t>
            </w:r>
          </w:p>
        </w:tc>
        <w:tc>
          <w:tcPr>
            <w:tcW w:w="1281" w:type="dxa"/>
          </w:tcPr>
          <w:p w:rsidR="00EB1715" w:rsidRPr="005E35DB" w:rsidRDefault="00EB1715" w:rsidP="005C5570">
            <w:pPr>
              <w:jc w:val="center"/>
              <w:rPr>
                <w:i/>
              </w:rPr>
            </w:pPr>
            <w:r w:rsidRPr="005E35DB">
              <w:rPr>
                <w:i/>
              </w:rPr>
              <w:t>SD</w:t>
            </w:r>
          </w:p>
        </w:tc>
        <w:tc>
          <w:tcPr>
            <w:tcW w:w="1282" w:type="dxa"/>
          </w:tcPr>
          <w:p w:rsidR="00EB1715" w:rsidRDefault="00EB1715" w:rsidP="005C5570">
            <w:pPr>
              <w:jc w:val="center"/>
            </w:pPr>
            <w:r>
              <w:t>Min-Max</w:t>
            </w:r>
          </w:p>
        </w:tc>
      </w:tr>
      <w:tr w:rsidR="00EB1715" w:rsidTr="00E93538">
        <w:tc>
          <w:tcPr>
            <w:tcW w:w="4225" w:type="dxa"/>
            <w:vAlign w:val="center"/>
          </w:tcPr>
          <w:p w:rsidR="00EB1715" w:rsidRPr="00AE3B80" w:rsidRDefault="00EB1715" w:rsidP="00EB1715">
            <w:pPr>
              <w:rPr>
                <w:sz w:val="21"/>
                <w:szCs w:val="21"/>
              </w:rPr>
            </w:pPr>
            <w:r w:rsidRPr="004E43B4">
              <w:t>Ideals of the Teaching Profession</w:t>
            </w:r>
          </w:p>
        </w:tc>
        <w:tc>
          <w:tcPr>
            <w:tcW w:w="1281" w:type="dxa"/>
          </w:tcPr>
          <w:p w:rsidR="00EB1715" w:rsidRDefault="00E93538" w:rsidP="00EB1715">
            <w:pPr>
              <w:jc w:val="center"/>
            </w:pPr>
            <w:r>
              <w:t>3.56</w:t>
            </w:r>
          </w:p>
        </w:tc>
        <w:tc>
          <w:tcPr>
            <w:tcW w:w="1281" w:type="dxa"/>
          </w:tcPr>
          <w:p w:rsidR="00EB1715" w:rsidRDefault="00944A87" w:rsidP="00EB1715">
            <w:pPr>
              <w:jc w:val="center"/>
            </w:pPr>
            <w:r>
              <w:t>3.60</w:t>
            </w:r>
          </w:p>
        </w:tc>
        <w:tc>
          <w:tcPr>
            <w:tcW w:w="1281" w:type="dxa"/>
          </w:tcPr>
          <w:p w:rsidR="00EB1715" w:rsidRDefault="00944A87" w:rsidP="00EB1715">
            <w:pPr>
              <w:jc w:val="center"/>
            </w:pPr>
            <w:r>
              <w:t>0.42</w:t>
            </w:r>
          </w:p>
        </w:tc>
        <w:tc>
          <w:tcPr>
            <w:tcW w:w="1282" w:type="dxa"/>
          </w:tcPr>
          <w:p w:rsidR="00EB1715" w:rsidRDefault="00944A87" w:rsidP="00EB1715">
            <w:pPr>
              <w:jc w:val="center"/>
            </w:pPr>
            <w:r>
              <w:t>2.40-4.00</w:t>
            </w:r>
          </w:p>
        </w:tc>
      </w:tr>
      <w:tr w:rsidR="00EB1715" w:rsidTr="00E93538">
        <w:tc>
          <w:tcPr>
            <w:tcW w:w="4225" w:type="dxa"/>
            <w:vAlign w:val="center"/>
          </w:tcPr>
          <w:p w:rsidR="00EB1715" w:rsidRPr="00AE3B80" w:rsidRDefault="00E93538" w:rsidP="0032768F">
            <w:pPr>
              <w:rPr>
                <w:sz w:val="21"/>
                <w:szCs w:val="21"/>
              </w:rPr>
            </w:pPr>
            <w:r w:rsidRPr="004E43B4">
              <w:t>Professional Ethical Standards</w:t>
            </w:r>
          </w:p>
        </w:tc>
        <w:tc>
          <w:tcPr>
            <w:tcW w:w="1281" w:type="dxa"/>
          </w:tcPr>
          <w:p w:rsidR="00EB1715" w:rsidRDefault="00E93538" w:rsidP="0032768F">
            <w:pPr>
              <w:jc w:val="center"/>
            </w:pPr>
            <w:r>
              <w:t>3.68</w:t>
            </w:r>
          </w:p>
        </w:tc>
        <w:tc>
          <w:tcPr>
            <w:tcW w:w="1281" w:type="dxa"/>
          </w:tcPr>
          <w:p w:rsidR="00EB1715" w:rsidRDefault="00944A87" w:rsidP="0032768F">
            <w:pPr>
              <w:jc w:val="center"/>
            </w:pPr>
            <w:r>
              <w:t>3.80</w:t>
            </w:r>
          </w:p>
        </w:tc>
        <w:tc>
          <w:tcPr>
            <w:tcW w:w="1281" w:type="dxa"/>
          </w:tcPr>
          <w:p w:rsidR="00EB1715" w:rsidRDefault="00944A87" w:rsidP="0032768F">
            <w:pPr>
              <w:jc w:val="center"/>
            </w:pPr>
            <w:r>
              <w:t>0.41</w:t>
            </w:r>
          </w:p>
        </w:tc>
        <w:tc>
          <w:tcPr>
            <w:tcW w:w="1282" w:type="dxa"/>
          </w:tcPr>
          <w:p w:rsidR="00EB1715" w:rsidRDefault="00944A87" w:rsidP="0032768F">
            <w:pPr>
              <w:jc w:val="center"/>
            </w:pPr>
            <w:r>
              <w:t>2.20-4.00</w:t>
            </w:r>
          </w:p>
        </w:tc>
      </w:tr>
      <w:tr w:rsidR="00EB1715" w:rsidTr="00E93538">
        <w:tc>
          <w:tcPr>
            <w:tcW w:w="4225" w:type="dxa"/>
            <w:vAlign w:val="center"/>
          </w:tcPr>
          <w:p w:rsidR="00EB1715" w:rsidRPr="00AE3B80" w:rsidRDefault="00EB1715" w:rsidP="0032768F">
            <w:pPr>
              <w:rPr>
                <w:sz w:val="21"/>
                <w:szCs w:val="21"/>
              </w:rPr>
            </w:pPr>
            <w:r w:rsidRPr="004E43B4">
              <w:t>Professional Knowledge</w:t>
            </w:r>
          </w:p>
        </w:tc>
        <w:tc>
          <w:tcPr>
            <w:tcW w:w="1281" w:type="dxa"/>
          </w:tcPr>
          <w:p w:rsidR="00EB1715" w:rsidRDefault="00E93538" w:rsidP="0032768F">
            <w:pPr>
              <w:jc w:val="center"/>
            </w:pPr>
            <w:r>
              <w:t>3.65</w:t>
            </w:r>
          </w:p>
        </w:tc>
        <w:tc>
          <w:tcPr>
            <w:tcW w:w="1281" w:type="dxa"/>
          </w:tcPr>
          <w:p w:rsidR="00EB1715" w:rsidRDefault="00944A87" w:rsidP="0032768F">
            <w:pPr>
              <w:jc w:val="center"/>
            </w:pPr>
            <w:r>
              <w:t>3.80</w:t>
            </w:r>
          </w:p>
        </w:tc>
        <w:tc>
          <w:tcPr>
            <w:tcW w:w="1281" w:type="dxa"/>
          </w:tcPr>
          <w:p w:rsidR="00EB1715" w:rsidRDefault="00944A87" w:rsidP="0032768F">
            <w:pPr>
              <w:jc w:val="center"/>
            </w:pPr>
            <w:r>
              <w:t>0.39</w:t>
            </w:r>
          </w:p>
        </w:tc>
        <w:tc>
          <w:tcPr>
            <w:tcW w:w="1282" w:type="dxa"/>
          </w:tcPr>
          <w:p w:rsidR="00EB1715" w:rsidRDefault="00944A87" w:rsidP="0032768F">
            <w:pPr>
              <w:jc w:val="center"/>
            </w:pPr>
            <w:r>
              <w:t>2.40-4.00</w:t>
            </w:r>
          </w:p>
        </w:tc>
      </w:tr>
      <w:tr w:rsidR="00EB1715" w:rsidTr="00E93538">
        <w:tc>
          <w:tcPr>
            <w:tcW w:w="4225" w:type="dxa"/>
            <w:vAlign w:val="center"/>
          </w:tcPr>
          <w:p w:rsidR="00EB1715" w:rsidRPr="00AE3B80" w:rsidRDefault="00EB1715" w:rsidP="0032768F">
            <w:pPr>
              <w:rPr>
                <w:sz w:val="21"/>
                <w:szCs w:val="21"/>
              </w:rPr>
            </w:pPr>
            <w:r w:rsidRPr="004E43B4">
              <w:t>School Community</w:t>
            </w:r>
          </w:p>
        </w:tc>
        <w:tc>
          <w:tcPr>
            <w:tcW w:w="1281" w:type="dxa"/>
          </w:tcPr>
          <w:p w:rsidR="00EB1715" w:rsidRDefault="00E93538" w:rsidP="0032768F">
            <w:pPr>
              <w:jc w:val="center"/>
            </w:pPr>
            <w:r>
              <w:t>3.60</w:t>
            </w:r>
          </w:p>
        </w:tc>
        <w:tc>
          <w:tcPr>
            <w:tcW w:w="1281" w:type="dxa"/>
          </w:tcPr>
          <w:p w:rsidR="00EB1715" w:rsidRDefault="00944A87" w:rsidP="0032768F">
            <w:pPr>
              <w:jc w:val="center"/>
            </w:pPr>
            <w:r>
              <w:t>3.80</w:t>
            </w:r>
          </w:p>
        </w:tc>
        <w:tc>
          <w:tcPr>
            <w:tcW w:w="1281" w:type="dxa"/>
          </w:tcPr>
          <w:p w:rsidR="00EB1715" w:rsidRDefault="00944A87" w:rsidP="0032768F">
            <w:pPr>
              <w:jc w:val="center"/>
            </w:pPr>
            <w:r>
              <w:t>0.42</w:t>
            </w:r>
          </w:p>
        </w:tc>
        <w:tc>
          <w:tcPr>
            <w:tcW w:w="1282" w:type="dxa"/>
          </w:tcPr>
          <w:p w:rsidR="00EB1715" w:rsidRDefault="00944A87" w:rsidP="0032768F">
            <w:pPr>
              <w:jc w:val="center"/>
            </w:pPr>
            <w:r>
              <w:t>2.20-4.00</w:t>
            </w:r>
          </w:p>
        </w:tc>
      </w:tr>
      <w:tr w:rsidR="00EB1715" w:rsidTr="00E93538">
        <w:tc>
          <w:tcPr>
            <w:tcW w:w="4225" w:type="dxa"/>
            <w:vAlign w:val="center"/>
          </w:tcPr>
          <w:p w:rsidR="00EB1715" w:rsidRPr="00AE3B80" w:rsidRDefault="00EB1715" w:rsidP="0032768F">
            <w:pPr>
              <w:rPr>
                <w:sz w:val="21"/>
                <w:szCs w:val="21"/>
              </w:rPr>
            </w:pPr>
            <w:r w:rsidRPr="004E43B4">
              <w:t>Colleagues, Faculty, and Fellow Students</w:t>
            </w:r>
          </w:p>
        </w:tc>
        <w:tc>
          <w:tcPr>
            <w:tcW w:w="1281" w:type="dxa"/>
          </w:tcPr>
          <w:p w:rsidR="00EB1715" w:rsidRDefault="00E93538" w:rsidP="0032768F">
            <w:pPr>
              <w:jc w:val="center"/>
            </w:pPr>
            <w:r>
              <w:t>3.50</w:t>
            </w:r>
          </w:p>
        </w:tc>
        <w:tc>
          <w:tcPr>
            <w:tcW w:w="1281" w:type="dxa"/>
          </w:tcPr>
          <w:p w:rsidR="00EB1715" w:rsidRDefault="00944A87" w:rsidP="0032768F">
            <w:pPr>
              <w:jc w:val="center"/>
            </w:pPr>
            <w:r>
              <w:t>3.60</w:t>
            </w:r>
          </w:p>
        </w:tc>
        <w:tc>
          <w:tcPr>
            <w:tcW w:w="1281" w:type="dxa"/>
          </w:tcPr>
          <w:p w:rsidR="00EB1715" w:rsidRDefault="00944A87" w:rsidP="0032768F">
            <w:pPr>
              <w:jc w:val="center"/>
            </w:pPr>
            <w:r>
              <w:t>0.49</w:t>
            </w:r>
          </w:p>
        </w:tc>
        <w:tc>
          <w:tcPr>
            <w:tcW w:w="1282" w:type="dxa"/>
          </w:tcPr>
          <w:p w:rsidR="00EB1715" w:rsidRDefault="00944A87" w:rsidP="0032768F">
            <w:pPr>
              <w:jc w:val="center"/>
            </w:pPr>
            <w:r>
              <w:t>2.00-4.00</w:t>
            </w:r>
          </w:p>
        </w:tc>
      </w:tr>
    </w:tbl>
    <w:p w:rsidR="0032768F" w:rsidRDefault="0032768F" w:rsidP="0032768F">
      <w:pPr>
        <w:spacing w:after="0" w:line="240" w:lineRule="auto"/>
      </w:pPr>
    </w:p>
    <w:p w:rsidR="0032768F" w:rsidRDefault="0032768F" w:rsidP="007C59D3">
      <w:pPr>
        <w:spacing w:after="0"/>
      </w:pPr>
      <w:r>
        <w:t xml:space="preserve">To explore the relations among </w:t>
      </w:r>
      <w:r>
        <w:t xml:space="preserve">candidates’ </w:t>
      </w:r>
      <w:r>
        <w:t xml:space="preserve">evaluations of their </w:t>
      </w:r>
      <w:r w:rsidR="00546F8B">
        <w:t>dispositions</w:t>
      </w:r>
      <w:r>
        <w:t xml:space="preserve">, Pearson correlation coefficients were computed </w:t>
      </w:r>
      <w:r w:rsidR="00C6510A">
        <w:t>among</w:t>
      </w:r>
      <w:r>
        <w:t xml:space="preserve"> composite scores based on each of the </w:t>
      </w:r>
      <w:r w:rsidR="00546F8B">
        <w:t>five broad commitment areas</w:t>
      </w:r>
      <w:r>
        <w:t xml:space="preserve"> (see Table </w:t>
      </w:r>
      <w:r w:rsidR="00546F8B">
        <w:t>3</w:t>
      </w:r>
      <w:r>
        <w:t xml:space="preserve">). </w:t>
      </w:r>
    </w:p>
    <w:p w:rsidR="007C59D3" w:rsidRDefault="007C59D3" w:rsidP="007C59D3">
      <w:pPr>
        <w:spacing w:after="0"/>
      </w:pPr>
    </w:p>
    <w:p w:rsidR="00F52652" w:rsidRDefault="008947A6" w:rsidP="0032768F">
      <w:pPr>
        <w:spacing w:after="0" w:line="240" w:lineRule="auto"/>
      </w:pPr>
      <w:r>
        <w:rPr>
          <w:i/>
        </w:rPr>
        <w:t>Table 3</w:t>
      </w:r>
      <w:r>
        <w:t xml:space="preserve">. Correlations </w:t>
      </w:r>
      <w:proofErr w:type="gramStart"/>
      <w:r>
        <w:t>Among</w:t>
      </w:r>
      <w:proofErr w:type="gramEnd"/>
      <w:r>
        <w:t xml:space="preserve"> Scores on the SSDEP Survey: Student Version Categories/Scales  </w:t>
      </w:r>
    </w:p>
    <w:tbl>
      <w:tblPr>
        <w:tblStyle w:val="TableGrid"/>
        <w:tblW w:w="9355" w:type="dxa"/>
        <w:tblLook w:val="04A0" w:firstRow="1" w:lastRow="0" w:firstColumn="1" w:lastColumn="0" w:noHBand="0" w:noVBand="1"/>
      </w:tblPr>
      <w:tblGrid>
        <w:gridCol w:w="5377"/>
        <w:gridCol w:w="795"/>
        <w:gridCol w:w="796"/>
        <w:gridCol w:w="795"/>
        <w:gridCol w:w="796"/>
        <w:gridCol w:w="796"/>
      </w:tblGrid>
      <w:tr w:rsidR="00F52652" w:rsidTr="00F52652">
        <w:tc>
          <w:tcPr>
            <w:tcW w:w="5377" w:type="dxa"/>
          </w:tcPr>
          <w:p w:rsidR="00F52652" w:rsidRPr="00AB277E" w:rsidRDefault="00EB1715" w:rsidP="005C5570">
            <w:pPr>
              <w:rPr>
                <w:sz w:val="21"/>
                <w:szCs w:val="21"/>
              </w:rPr>
            </w:pPr>
            <w:r w:rsidRPr="00AB277E">
              <w:t>SSDEP Survey</w:t>
            </w:r>
            <w:r w:rsidR="000A5771" w:rsidRPr="00AB277E">
              <w:t xml:space="preserve">: Dispositions Commitment </w:t>
            </w:r>
          </w:p>
        </w:tc>
        <w:tc>
          <w:tcPr>
            <w:tcW w:w="795" w:type="dxa"/>
            <w:tcBorders>
              <w:bottom w:val="single" w:sz="4" w:space="0" w:color="auto"/>
            </w:tcBorders>
            <w:vAlign w:val="center"/>
          </w:tcPr>
          <w:p w:rsidR="00F52652" w:rsidRPr="00AE3B80" w:rsidRDefault="00F52652" w:rsidP="005C5570">
            <w:pPr>
              <w:jc w:val="center"/>
              <w:rPr>
                <w:sz w:val="21"/>
                <w:szCs w:val="21"/>
              </w:rPr>
            </w:pPr>
            <w:r w:rsidRPr="00AE3B80">
              <w:rPr>
                <w:sz w:val="21"/>
                <w:szCs w:val="21"/>
              </w:rPr>
              <w:t>1</w:t>
            </w:r>
          </w:p>
        </w:tc>
        <w:tc>
          <w:tcPr>
            <w:tcW w:w="796" w:type="dxa"/>
            <w:tcBorders>
              <w:bottom w:val="single" w:sz="4" w:space="0" w:color="auto"/>
            </w:tcBorders>
            <w:vAlign w:val="center"/>
          </w:tcPr>
          <w:p w:rsidR="00F52652" w:rsidRPr="00AE3B80" w:rsidRDefault="00F52652" w:rsidP="005C5570">
            <w:pPr>
              <w:jc w:val="center"/>
              <w:rPr>
                <w:sz w:val="21"/>
                <w:szCs w:val="21"/>
              </w:rPr>
            </w:pPr>
            <w:r w:rsidRPr="00AE3B80">
              <w:rPr>
                <w:sz w:val="21"/>
                <w:szCs w:val="21"/>
              </w:rPr>
              <w:t>2</w:t>
            </w:r>
          </w:p>
        </w:tc>
        <w:tc>
          <w:tcPr>
            <w:tcW w:w="795" w:type="dxa"/>
            <w:tcBorders>
              <w:bottom w:val="single" w:sz="4" w:space="0" w:color="auto"/>
            </w:tcBorders>
            <w:vAlign w:val="center"/>
          </w:tcPr>
          <w:p w:rsidR="00F52652" w:rsidRPr="00AE3B80" w:rsidRDefault="00F52652" w:rsidP="005C5570">
            <w:pPr>
              <w:jc w:val="center"/>
              <w:rPr>
                <w:sz w:val="21"/>
                <w:szCs w:val="21"/>
              </w:rPr>
            </w:pPr>
            <w:r w:rsidRPr="00AE3B80">
              <w:rPr>
                <w:sz w:val="21"/>
                <w:szCs w:val="21"/>
              </w:rPr>
              <w:t>3</w:t>
            </w:r>
          </w:p>
        </w:tc>
        <w:tc>
          <w:tcPr>
            <w:tcW w:w="796" w:type="dxa"/>
            <w:tcBorders>
              <w:bottom w:val="single" w:sz="4" w:space="0" w:color="auto"/>
            </w:tcBorders>
            <w:vAlign w:val="center"/>
          </w:tcPr>
          <w:p w:rsidR="00F52652" w:rsidRPr="00AE3B80" w:rsidRDefault="00F52652" w:rsidP="005C5570">
            <w:pPr>
              <w:jc w:val="center"/>
              <w:rPr>
                <w:sz w:val="21"/>
                <w:szCs w:val="21"/>
              </w:rPr>
            </w:pPr>
            <w:r w:rsidRPr="00AE3B80">
              <w:rPr>
                <w:sz w:val="21"/>
                <w:szCs w:val="21"/>
              </w:rPr>
              <w:t>4</w:t>
            </w:r>
          </w:p>
        </w:tc>
        <w:tc>
          <w:tcPr>
            <w:tcW w:w="796" w:type="dxa"/>
            <w:tcBorders>
              <w:bottom w:val="single" w:sz="4" w:space="0" w:color="auto"/>
            </w:tcBorders>
            <w:vAlign w:val="center"/>
          </w:tcPr>
          <w:p w:rsidR="00F52652" w:rsidRPr="00AE3B80" w:rsidRDefault="00F52652" w:rsidP="005C5570">
            <w:pPr>
              <w:jc w:val="center"/>
              <w:rPr>
                <w:sz w:val="21"/>
                <w:szCs w:val="21"/>
              </w:rPr>
            </w:pPr>
            <w:r w:rsidRPr="00AE3B80">
              <w:rPr>
                <w:sz w:val="21"/>
                <w:szCs w:val="21"/>
              </w:rPr>
              <w:t>5</w:t>
            </w:r>
          </w:p>
        </w:tc>
      </w:tr>
      <w:tr w:rsidR="00F52652" w:rsidTr="00F52652">
        <w:tc>
          <w:tcPr>
            <w:tcW w:w="5377" w:type="dxa"/>
            <w:vAlign w:val="center"/>
          </w:tcPr>
          <w:p w:rsidR="00F52652" w:rsidRPr="00AB277E" w:rsidRDefault="00F52652" w:rsidP="005C5570">
            <w:pPr>
              <w:rPr>
                <w:sz w:val="21"/>
                <w:szCs w:val="21"/>
              </w:rPr>
            </w:pPr>
            <w:r w:rsidRPr="00AB277E">
              <w:rPr>
                <w:sz w:val="21"/>
                <w:szCs w:val="21"/>
              </w:rPr>
              <w:t xml:space="preserve">1. </w:t>
            </w:r>
            <w:r w:rsidRPr="00AB277E">
              <w:t>Ideals of the Teaching Profession</w:t>
            </w:r>
          </w:p>
        </w:tc>
        <w:tc>
          <w:tcPr>
            <w:tcW w:w="795" w:type="dxa"/>
            <w:tcBorders>
              <w:bottom w:val="nil"/>
              <w:right w:val="nil"/>
            </w:tcBorders>
            <w:vAlign w:val="center"/>
          </w:tcPr>
          <w:p w:rsidR="00F52652" w:rsidRPr="00627840" w:rsidRDefault="00F52652" w:rsidP="005C5570">
            <w:pPr>
              <w:jc w:val="center"/>
              <w:rPr>
                <w:sz w:val="20"/>
                <w:szCs w:val="20"/>
              </w:rPr>
            </w:pPr>
            <w:r w:rsidRPr="00627840">
              <w:rPr>
                <w:sz w:val="20"/>
                <w:szCs w:val="20"/>
              </w:rPr>
              <w:t>-</w:t>
            </w:r>
          </w:p>
        </w:tc>
        <w:tc>
          <w:tcPr>
            <w:tcW w:w="796" w:type="dxa"/>
            <w:tcBorders>
              <w:left w:val="nil"/>
              <w:bottom w:val="nil"/>
              <w:right w:val="nil"/>
            </w:tcBorders>
            <w:vAlign w:val="center"/>
          </w:tcPr>
          <w:p w:rsidR="00F52652" w:rsidRPr="00627840" w:rsidRDefault="00F52652" w:rsidP="005C5570">
            <w:pPr>
              <w:jc w:val="center"/>
              <w:rPr>
                <w:sz w:val="20"/>
                <w:szCs w:val="20"/>
              </w:rPr>
            </w:pPr>
          </w:p>
        </w:tc>
        <w:tc>
          <w:tcPr>
            <w:tcW w:w="795" w:type="dxa"/>
            <w:tcBorders>
              <w:left w:val="nil"/>
              <w:bottom w:val="nil"/>
              <w:right w:val="nil"/>
            </w:tcBorders>
            <w:vAlign w:val="center"/>
          </w:tcPr>
          <w:p w:rsidR="00F52652" w:rsidRPr="00627840" w:rsidRDefault="00F52652" w:rsidP="005C5570">
            <w:pPr>
              <w:jc w:val="center"/>
              <w:rPr>
                <w:sz w:val="20"/>
                <w:szCs w:val="20"/>
              </w:rPr>
            </w:pPr>
          </w:p>
        </w:tc>
        <w:tc>
          <w:tcPr>
            <w:tcW w:w="796" w:type="dxa"/>
            <w:tcBorders>
              <w:left w:val="nil"/>
              <w:bottom w:val="nil"/>
              <w:right w:val="nil"/>
            </w:tcBorders>
            <w:vAlign w:val="center"/>
          </w:tcPr>
          <w:p w:rsidR="00F52652" w:rsidRPr="00627840" w:rsidRDefault="00F52652" w:rsidP="005C5570">
            <w:pPr>
              <w:jc w:val="center"/>
              <w:rPr>
                <w:sz w:val="20"/>
                <w:szCs w:val="20"/>
              </w:rPr>
            </w:pPr>
          </w:p>
        </w:tc>
        <w:tc>
          <w:tcPr>
            <w:tcW w:w="796" w:type="dxa"/>
            <w:tcBorders>
              <w:left w:val="nil"/>
              <w:bottom w:val="nil"/>
              <w:right w:val="single" w:sz="4" w:space="0" w:color="auto"/>
            </w:tcBorders>
            <w:vAlign w:val="center"/>
          </w:tcPr>
          <w:p w:rsidR="00F52652" w:rsidRPr="00627840" w:rsidRDefault="00F52652" w:rsidP="005C5570">
            <w:pPr>
              <w:jc w:val="center"/>
              <w:rPr>
                <w:sz w:val="20"/>
                <w:szCs w:val="20"/>
              </w:rPr>
            </w:pPr>
          </w:p>
        </w:tc>
      </w:tr>
      <w:tr w:rsidR="00F52652" w:rsidTr="00F52652">
        <w:tc>
          <w:tcPr>
            <w:tcW w:w="5377" w:type="dxa"/>
            <w:vAlign w:val="center"/>
          </w:tcPr>
          <w:p w:rsidR="00F52652" w:rsidRPr="00AE3B80" w:rsidRDefault="00F52652" w:rsidP="005C5570">
            <w:pPr>
              <w:rPr>
                <w:sz w:val="21"/>
                <w:szCs w:val="21"/>
              </w:rPr>
            </w:pPr>
            <w:r w:rsidRPr="00AE3B80">
              <w:rPr>
                <w:sz w:val="21"/>
                <w:szCs w:val="21"/>
              </w:rPr>
              <w:t xml:space="preserve">2. </w:t>
            </w:r>
            <w:r w:rsidRPr="004E43B4">
              <w:t>Professional Ethical Standards</w:t>
            </w:r>
          </w:p>
        </w:tc>
        <w:tc>
          <w:tcPr>
            <w:tcW w:w="795" w:type="dxa"/>
            <w:tcBorders>
              <w:top w:val="nil"/>
              <w:bottom w:val="nil"/>
              <w:right w:val="nil"/>
            </w:tcBorders>
            <w:vAlign w:val="center"/>
          </w:tcPr>
          <w:p w:rsidR="00F52652" w:rsidRPr="00627840" w:rsidRDefault="00E42A9D" w:rsidP="005C5570">
            <w:pPr>
              <w:jc w:val="center"/>
              <w:rPr>
                <w:sz w:val="20"/>
                <w:szCs w:val="20"/>
              </w:rPr>
            </w:pPr>
            <w:r>
              <w:rPr>
                <w:sz w:val="20"/>
                <w:szCs w:val="20"/>
              </w:rPr>
              <w:t>.75**</w:t>
            </w:r>
          </w:p>
        </w:tc>
        <w:tc>
          <w:tcPr>
            <w:tcW w:w="796" w:type="dxa"/>
            <w:tcBorders>
              <w:top w:val="nil"/>
              <w:left w:val="nil"/>
              <w:bottom w:val="nil"/>
              <w:right w:val="nil"/>
            </w:tcBorders>
            <w:vAlign w:val="center"/>
          </w:tcPr>
          <w:p w:rsidR="00F52652" w:rsidRPr="00627840" w:rsidRDefault="00F52652" w:rsidP="005C5570">
            <w:pPr>
              <w:jc w:val="center"/>
              <w:rPr>
                <w:sz w:val="20"/>
                <w:szCs w:val="20"/>
              </w:rPr>
            </w:pPr>
            <w:r w:rsidRPr="00627840">
              <w:rPr>
                <w:sz w:val="20"/>
                <w:szCs w:val="20"/>
              </w:rPr>
              <w:t>-</w:t>
            </w:r>
          </w:p>
        </w:tc>
        <w:tc>
          <w:tcPr>
            <w:tcW w:w="795" w:type="dxa"/>
            <w:tcBorders>
              <w:top w:val="nil"/>
              <w:left w:val="nil"/>
              <w:bottom w:val="nil"/>
              <w:right w:val="nil"/>
            </w:tcBorders>
            <w:vAlign w:val="center"/>
          </w:tcPr>
          <w:p w:rsidR="00F52652" w:rsidRPr="00627840" w:rsidRDefault="00F52652" w:rsidP="005C5570">
            <w:pPr>
              <w:jc w:val="center"/>
              <w:rPr>
                <w:sz w:val="20"/>
                <w:szCs w:val="20"/>
              </w:rPr>
            </w:pPr>
          </w:p>
        </w:tc>
        <w:tc>
          <w:tcPr>
            <w:tcW w:w="796" w:type="dxa"/>
            <w:tcBorders>
              <w:top w:val="nil"/>
              <w:left w:val="nil"/>
              <w:bottom w:val="nil"/>
              <w:right w:val="nil"/>
            </w:tcBorders>
            <w:vAlign w:val="center"/>
          </w:tcPr>
          <w:p w:rsidR="00F52652" w:rsidRPr="00627840" w:rsidRDefault="00F52652" w:rsidP="005C5570">
            <w:pPr>
              <w:jc w:val="center"/>
              <w:rPr>
                <w:sz w:val="20"/>
                <w:szCs w:val="20"/>
              </w:rPr>
            </w:pPr>
          </w:p>
        </w:tc>
        <w:tc>
          <w:tcPr>
            <w:tcW w:w="796" w:type="dxa"/>
            <w:tcBorders>
              <w:top w:val="nil"/>
              <w:left w:val="nil"/>
              <w:bottom w:val="nil"/>
              <w:right w:val="single" w:sz="4" w:space="0" w:color="auto"/>
            </w:tcBorders>
            <w:vAlign w:val="center"/>
          </w:tcPr>
          <w:p w:rsidR="00F52652" w:rsidRPr="00627840" w:rsidRDefault="00F52652" w:rsidP="005C5570">
            <w:pPr>
              <w:jc w:val="center"/>
              <w:rPr>
                <w:sz w:val="20"/>
                <w:szCs w:val="20"/>
              </w:rPr>
            </w:pPr>
          </w:p>
        </w:tc>
      </w:tr>
      <w:tr w:rsidR="00F52652" w:rsidTr="00F52652">
        <w:tc>
          <w:tcPr>
            <w:tcW w:w="5377" w:type="dxa"/>
            <w:vAlign w:val="center"/>
          </w:tcPr>
          <w:p w:rsidR="00F52652" w:rsidRPr="00AE3B80" w:rsidRDefault="00F52652" w:rsidP="005C5570">
            <w:pPr>
              <w:rPr>
                <w:sz w:val="21"/>
                <w:szCs w:val="21"/>
              </w:rPr>
            </w:pPr>
            <w:r w:rsidRPr="00AE3B80">
              <w:rPr>
                <w:sz w:val="21"/>
                <w:szCs w:val="21"/>
              </w:rPr>
              <w:t xml:space="preserve">3. </w:t>
            </w:r>
            <w:r w:rsidRPr="004E43B4">
              <w:t>Professional Knowledge</w:t>
            </w:r>
          </w:p>
        </w:tc>
        <w:tc>
          <w:tcPr>
            <w:tcW w:w="795" w:type="dxa"/>
            <w:tcBorders>
              <w:top w:val="nil"/>
              <w:bottom w:val="nil"/>
              <w:right w:val="nil"/>
            </w:tcBorders>
            <w:vAlign w:val="center"/>
          </w:tcPr>
          <w:p w:rsidR="00F52652" w:rsidRPr="00627840" w:rsidRDefault="00E42A9D" w:rsidP="005C5570">
            <w:pPr>
              <w:jc w:val="center"/>
              <w:rPr>
                <w:sz w:val="20"/>
                <w:szCs w:val="20"/>
              </w:rPr>
            </w:pPr>
            <w:r>
              <w:rPr>
                <w:sz w:val="20"/>
                <w:szCs w:val="20"/>
              </w:rPr>
              <w:t>.59**</w:t>
            </w:r>
          </w:p>
        </w:tc>
        <w:tc>
          <w:tcPr>
            <w:tcW w:w="796" w:type="dxa"/>
            <w:tcBorders>
              <w:top w:val="nil"/>
              <w:left w:val="nil"/>
              <w:bottom w:val="nil"/>
              <w:right w:val="nil"/>
            </w:tcBorders>
            <w:vAlign w:val="center"/>
          </w:tcPr>
          <w:p w:rsidR="00F52652" w:rsidRPr="00627840" w:rsidRDefault="00E42A9D" w:rsidP="005C5570">
            <w:pPr>
              <w:jc w:val="center"/>
              <w:rPr>
                <w:sz w:val="20"/>
                <w:szCs w:val="20"/>
              </w:rPr>
            </w:pPr>
            <w:r>
              <w:rPr>
                <w:sz w:val="20"/>
                <w:szCs w:val="20"/>
              </w:rPr>
              <w:t>.64**</w:t>
            </w:r>
          </w:p>
        </w:tc>
        <w:tc>
          <w:tcPr>
            <w:tcW w:w="795" w:type="dxa"/>
            <w:tcBorders>
              <w:top w:val="nil"/>
              <w:left w:val="nil"/>
              <w:bottom w:val="nil"/>
              <w:right w:val="nil"/>
            </w:tcBorders>
            <w:vAlign w:val="center"/>
          </w:tcPr>
          <w:p w:rsidR="00F52652" w:rsidRPr="00627840" w:rsidRDefault="00F52652" w:rsidP="005C5570">
            <w:pPr>
              <w:jc w:val="center"/>
              <w:rPr>
                <w:sz w:val="20"/>
                <w:szCs w:val="20"/>
              </w:rPr>
            </w:pPr>
            <w:r w:rsidRPr="00627840">
              <w:rPr>
                <w:sz w:val="20"/>
                <w:szCs w:val="20"/>
              </w:rPr>
              <w:t>-</w:t>
            </w:r>
          </w:p>
        </w:tc>
        <w:tc>
          <w:tcPr>
            <w:tcW w:w="796" w:type="dxa"/>
            <w:tcBorders>
              <w:top w:val="nil"/>
              <w:left w:val="nil"/>
              <w:bottom w:val="nil"/>
              <w:right w:val="nil"/>
            </w:tcBorders>
            <w:vAlign w:val="center"/>
          </w:tcPr>
          <w:p w:rsidR="00F52652" w:rsidRPr="00627840" w:rsidRDefault="00F52652" w:rsidP="005C5570">
            <w:pPr>
              <w:jc w:val="center"/>
              <w:rPr>
                <w:sz w:val="20"/>
                <w:szCs w:val="20"/>
              </w:rPr>
            </w:pPr>
          </w:p>
        </w:tc>
        <w:tc>
          <w:tcPr>
            <w:tcW w:w="796" w:type="dxa"/>
            <w:tcBorders>
              <w:top w:val="nil"/>
              <w:left w:val="nil"/>
              <w:bottom w:val="nil"/>
              <w:right w:val="single" w:sz="4" w:space="0" w:color="auto"/>
            </w:tcBorders>
            <w:vAlign w:val="center"/>
          </w:tcPr>
          <w:p w:rsidR="00F52652" w:rsidRPr="00627840" w:rsidRDefault="00F52652" w:rsidP="005C5570">
            <w:pPr>
              <w:jc w:val="center"/>
              <w:rPr>
                <w:sz w:val="20"/>
                <w:szCs w:val="20"/>
              </w:rPr>
            </w:pPr>
          </w:p>
        </w:tc>
      </w:tr>
      <w:tr w:rsidR="00F52652" w:rsidTr="00F52652">
        <w:tc>
          <w:tcPr>
            <w:tcW w:w="5377" w:type="dxa"/>
            <w:vAlign w:val="center"/>
          </w:tcPr>
          <w:p w:rsidR="00F52652" w:rsidRPr="00AE3B80" w:rsidRDefault="00F52652" w:rsidP="005C5570">
            <w:pPr>
              <w:rPr>
                <w:sz w:val="21"/>
                <w:szCs w:val="21"/>
              </w:rPr>
            </w:pPr>
            <w:r w:rsidRPr="00AE3B80">
              <w:rPr>
                <w:sz w:val="21"/>
                <w:szCs w:val="21"/>
              </w:rPr>
              <w:t xml:space="preserve">4. </w:t>
            </w:r>
            <w:r w:rsidRPr="004E43B4">
              <w:t>School Community</w:t>
            </w:r>
          </w:p>
        </w:tc>
        <w:tc>
          <w:tcPr>
            <w:tcW w:w="795" w:type="dxa"/>
            <w:tcBorders>
              <w:top w:val="nil"/>
              <w:bottom w:val="nil"/>
              <w:right w:val="nil"/>
            </w:tcBorders>
            <w:vAlign w:val="center"/>
          </w:tcPr>
          <w:p w:rsidR="00F52652" w:rsidRPr="00627840" w:rsidRDefault="00E42A9D" w:rsidP="005C5570">
            <w:pPr>
              <w:jc w:val="center"/>
              <w:rPr>
                <w:sz w:val="20"/>
                <w:szCs w:val="20"/>
              </w:rPr>
            </w:pPr>
            <w:r>
              <w:rPr>
                <w:sz w:val="20"/>
                <w:szCs w:val="20"/>
              </w:rPr>
              <w:t>.65**</w:t>
            </w:r>
          </w:p>
        </w:tc>
        <w:tc>
          <w:tcPr>
            <w:tcW w:w="796" w:type="dxa"/>
            <w:tcBorders>
              <w:top w:val="nil"/>
              <w:left w:val="nil"/>
              <w:bottom w:val="nil"/>
              <w:right w:val="nil"/>
            </w:tcBorders>
            <w:vAlign w:val="center"/>
          </w:tcPr>
          <w:p w:rsidR="00F52652" w:rsidRPr="00627840" w:rsidRDefault="00E42A9D" w:rsidP="005C5570">
            <w:pPr>
              <w:jc w:val="center"/>
              <w:rPr>
                <w:sz w:val="20"/>
                <w:szCs w:val="20"/>
              </w:rPr>
            </w:pPr>
            <w:r>
              <w:rPr>
                <w:sz w:val="20"/>
                <w:szCs w:val="20"/>
              </w:rPr>
              <w:t>.72**</w:t>
            </w:r>
          </w:p>
        </w:tc>
        <w:tc>
          <w:tcPr>
            <w:tcW w:w="795" w:type="dxa"/>
            <w:tcBorders>
              <w:top w:val="nil"/>
              <w:left w:val="nil"/>
              <w:bottom w:val="nil"/>
              <w:right w:val="nil"/>
            </w:tcBorders>
            <w:vAlign w:val="center"/>
          </w:tcPr>
          <w:p w:rsidR="00F52652" w:rsidRPr="00627840" w:rsidRDefault="00E42A9D" w:rsidP="005C5570">
            <w:pPr>
              <w:jc w:val="center"/>
              <w:rPr>
                <w:sz w:val="20"/>
                <w:szCs w:val="20"/>
              </w:rPr>
            </w:pPr>
            <w:r>
              <w:rPr>
                <w:sz w:val="20"/>
                <w:szCs w:val="20"/>
              </w:rPr>
              <w:t>.68**</w:t>
            </w:r>
          </w:p>
        </w:tc>
        <w:tc>
          <w:tcPr>
            <w:tcW w:w="796" w:type="dxa"/>
            <w:tcBorders>
              <w:top w:val="nil"/>
              <w:left w:val="nil"/>
              <w:bottom w:val="nil"/>
              <w:right w:val="nil"/>
            </w:tcBorders>
            <w:vAlign w:val="center"/>
          </w:tcPr>
          <w:p w:rsidR="00F52652" w:rsidRPr="00627840" w:rsidRDefault="00F52652" w:rsidP="005C5570">
            <w:pPr>
              <w:jc w:val="center"/>
              <w:rPr>
                <w:sz w:val="20"/>
                <w:szCs w:val="20"/>
              </w:rPr>
            </w:pPr>
            <w:r w:rsidRPr="00627840">
              <w:rPr>
                <w:sz w:val="20"/>
                <w:szCs w:val="20"/>
              </w:rPr>
              <w:t>-</w:t>
            </w:r>
          </w:p>
        </w:tc>
        <w:tc>
          <w:tcPr>
            <w:tcW w:w="796" w:type="dxa"/>
            <w:tcBorders>
              <w:top w:val="nil"/>
              <w:left w:val="nil"/>
              <w:bottom w:val="nil"/>
              <w:right w:val="single" w:sz="4" w:space="0" w:color="auto"/>
            </w:tcBorders>
            <w:vAlign w:val="center"/>
          </w:tcPr>
          <w:p w:rsidR="00F52652" w:rsidRPr="00627840" w:rsidRDefault="00F52652" w:rsidP="005C5570">
            <w:pPr>
              <w:jc w:val="center"/>
              <w:rPr>
                <w:sz w:val="20"/>
                <w:szCs w:val="20"/>
              </w:rPr>
            </w:pPr>
          </w:p>
        </w:tc>
      </w:tr>
      <w:tr w:rsidR="00F52652" w:rsidTr="00F52652">
        <w:tc>
          <w:tcPr>
            <w:tcW w:w="5377" w:type="dxa"/>
            <w:vAlign w:val="center"/>
          </w:tcPr>
          <w:p w:rsidR="00F52652" w:rsidRPr="00AE3B80" w:rsidRDefault="00F52652" w:rsidP="005C5570">
            <w:pPr>
              <w:rPr>
                <w:sz w:val="21"/>
                <w:szCs w:val="21"/>
              </w:rPr>
            </w:pPr>
            <w:r w:rsidRPr="00AE3B80">
              <w:rPr>
                <w:sz w:val="21"/>
                <w:szCs w:val="21"/>
              </w:rPr>
              <w:t xml:space="preserve">5. </w:t>
            </w:r>
            <w:r w:rsidRPr="004E43B4">
              <w:t>Professional Colleagues, Faculty, and Fellow Students</w:t>
            </w:r>
          </w:p>
        </w:tc>
        <w:tc>
          <w:tcPr>
            <w:tcW w:w="795" w:type="dxa"/>
            <w:tcBorders>
              <w:top w:val="nil"/>
              <w:bottom w:val="single" w:sz="4" w:space="0" w:color="auto"/>
              <w:right w:val="nil"/>
            </w:tcBorders>
            <w:vAlign w:val="center"/>
          </w:tcPr>
          <w:p w:rsidR="00F52652" w:rsidRPr="00627840" w:rsidRDefault="00E42A9D" w:rsidP="005C5570">
            <w:pPr>
              <w:jc w:val="center"/>
              <w:rPr>
                <w:sz w:val="20"/>
                <w:szCs w:val="20"/>
              </w:rPr>
            </w:pPr>
            <w:r>
              <w:rPr>
                <w:sz w:val="20"/>
                <w:szCs w:val="20"/>
              </w:rPr>
              <w:t>.59**</w:t>
            </w:r>
          </w:p>
        </w:tc>
        <w:tc>
          <w:tcPr>
            <w:tcW w:w="796" w:type="dxa"/>
            <w:tcBorders>
              <w:top w:val="nil"/>
              <w:left w:val="nil"/>
              <w:bottom w:val="single" w:sz="4" w:space="0" w:color="auto"/>
              <w:right w:val="nil"/>
            </w:tcBorders>
            <w:vAlign w:val="center"/>
          </w:tcPr>
          <w:p w:rsidR="00F52652" w:rsidRPr="00627840" w:rsidRDefault="00E42A9D" w:rsidP="005C5570">
            <w:pPr>
              <w:jc w:val="center"/>
              <w:rPr>
                <w:sz w:val="20"/>
                <w:szCs w:val="20"/>
              </w:rPr>
            </w:pPr>
            <w:r>
              <w:rPr>
                <w:sz w:val="20"/>
                <w:szCs w:val="20"/>
              </w:rPr>
              <w:t>.68**</w:t>
            </w:r>
          </w:p>
        </w:tc>
        <w:tc>
          <w:tcPr>
            <w:tcW w:w="795" w:type="dxa"/>
            <w:tcBorders>
              <w:top w:val="nil"/>
              <w:left w:val="nil"/>
              <w:bottom w:val="single" w:sz="4" w:space="0" w:color="auto"/>
              <w:right w:val="nil"/>
            </w:tcBorders>
            <w:vAlign w:val="center"/>
          </w:tcPr>
          <w:p w:rsidR="00F52652" w:rsidRPr="00627840" w:rsidRDefault="00E42A9D" w:rsidP="005C5570">
            <w:pPr>
              <w:jc w:val="center"/>
              <w:rPr>
                <w:sz w:val="20"/>
                <w:szCs w:val="20"/>
              </w:rPr>
            </w:pPr>
            <w:r>
              <w:rPr>
                <w:sz w:val="20"/>
                <w:szCs w:val="20"/>
              </w:rPr>
              <w:t>.61**</w:t>
            </w:r>
          </w:p>
        </w:tc>
        <w:tc>
          <w:tcPr>
            <w:tcW w:w="796" w:type="dxa"/>
            <w:tcBorders>
              <w:top w:val="nil"/>
              <w:left w:val="nil"/>
              <w:bottom w:val="single" w:sz="4" w:space="0" w:color="auto"/>
              <w:right w:val="nil"/>
            </w:tcBorders>
            <w:vAlign w:val="center"/>
          </w:tcPr>
          <w:p w:rsidR="00F52652" w:rsidRPr="00627840" w:rsidRDefault="00F52652" w:rsidP="00E42A9D">
            <w:pPr>
              <w:jc w:val="center"/>
              <w:rPr>
                <w:sz w:val="20"/>
                <w:szCs w:val="20"/>
              </w:rPr>
            </w:pPr>
            <w:r>
              <w:rPr>
                <w:sz w:val="20"/>
                <w:szCs w:val="20"/>
              </w:rPr>
              <w:t>.</w:t>
            </w:r>
            <w:r w:rsidR="00E42A9D">
              <w:rPr>
                <w:sz w:val="20"/>
                <w:szCs w:val="20"/>
              </w:rPr>
              <w:t>75**</w:t>
            </w:r>
          </w:p>
        </w:tc>
        <w:tc>
          <w:tcPr>
            <w:tcW w:w="796" w:type="dxa"/>
            <w:tcBorders>
              <w:top w:val="nil"/>
              <w:left w:val="nil"/>
              <w:bottom w:val="single" w:sz="4" w:space="0" w:color="auto"/>
              <w:right w:val="single" w:sz="4" w:space="0" w:color="auto"/>
            </w:tcBorders>
            <w:vAlign w:val="center"/>
          </w:tcPr>
          <w:p w:rsidR="00F52652" w:rsidRPr="00627840" w:rsidRDefault="00F52652" w:rsidP="005C5570">
            <w:pPr>
              <w:jc w:val="center"/>
              <w:rPr>
                <w:sz w:val="20"/>
                <w:szCs w:val="20"/>
              </w:rPr>
            </w:pPr>
            <w:r w:rsidRPr="00627840">
              <w:rPr>
                <w:sz w:val="20"/>
                <w:szCs w:val="20"/>
              </w:rPr>
              <w:t>-</w:t>
            </w:r>
          </w:p>
        </w:tc>
      </w:tr>
    </w:tbl>
    <w:p w:rsidR="006D08A2" w:rsidRDefault="006D08A2" w:rsidP="0032768F">
      <w:pPr>
        <w:spacing w:after="0"/>
      </w:pPr>
    </w:p>
    <w:p w:rsidR="00F52652" w:rsidRPr="009273CE" w:rsidRDefault="00C84D98" w:rsidP="0032768F">
      <w:pPr>
        <w:spacing w:after="0"/>
      </w:pPr>
      <w:r>
        <w:lastRenderedPageBreak/>
        <w:t xml:space="preserve">These correlations provide convergent evidence based on expected relationships </w:t>
      </w:r>
      <w:r w:rsidR="007C59D3">
        <w:t>amo</w:t>
      </w:r>
      <w:r>
        <w:t>n</w:t>
      </w:r>
      <w:r w:rsidR="007C59D3">
        <w:t>g</w:t>
      </w:r>
      <w:r>
        <w:t xml:space="preserve"> dimensions of </w:t>
      </w:r>
      <w:r w:rsidR="007B5BF8">
        <w:t>candidates’</w:t>
      </w:r>
      <w:r>
        <w:t xml:space="preserve"> dispositional characteristics (i.e., validity evidence based on relations to other variables; see </w:t>
      </w:r>
      <w:r w:rsidRPr="008B77D6">
        <w:rPr>
          <w:i/>
        </w:rPr>
        <w:t>Standards for Educational and Psychological Testing</w:t>
      </w:r>
      <w:r>
        <w:t xml:space="preserve">, AERA, APA, NCME, 2014, p. 16). </w:t>
      </w:r>
      <w:r w:rsidR="0032768F" w:rsidRPr="00B15EBA">
        <w:t xml:space="preserve">Overall, </w:t>
      </w:r>
      <w:r w:rsidR="00B41107">
        <w:t xml:space="preserve">obtained </w:t>
      </w:r>
      <w:r w:rsidR="0032768F" w:rsidRPr="00B15EBA">
        <w:t xml:space="preserve">correlations </w:t>
      </w:r>
      <w:r w:rsidR="0032768F">
        <w:t xml:space="preserve">were positive and were moderate to strong in magnitude indicating, as expected, a strong pattern of relationships among candidates’ evaluations of their </w:t>
      </w:r>
      <w:r w:rsidR="0028378E">
        <w:t>dispositions and dispositional characteristics</w:t>
      </w:r>
      <w:r w:rsidR="009273CE">
        <w:t>.</w:t>
      </w:r>
      <w:r w:rsidR="009273CE">
        <w:rPr>
          <w:vertAlign w:val="superscript"/>
        </w:rPr>
        <w:t xml:space="preserve">2 </w:t>
      </w:r>
    </w:p>
    <w:p w:rsidR="0032768F" w:rsidRDefault="0032768F" w:rsidP="0032768F">
      <w:pPr>
        <w:spacing w:after="0"/>
      </w:pPr>
    </w:p>
    <w:p w:rsidR="00DC15A4" w:rsidRPr="00782ADE" w:rsidRDefault="00A65C42" w:rsidP="005D67DA">
      <w:pPr>
        <w:spacing w:after="0" w:line="480" w:lineRule="auto"/>
        <w:rPr>
          <w:b/>
        </w:rPr>
      </w:pPr>
      <w:r>
        <w:rPr>
          <w:b/>
        </w:rPr>
        <w:t xml:space="preserve">Section V. </w:t>
      </w:r>
      <w:r w:rsidR="00DC15A4" w:rsidRPr="00782ADE">
        <w:rPr>
          <w:b/>
        </w:rPr>
        <w:t xml:space="preserve">Summary of Psychometric Evidence for the SSDEP Survey: Student Version </w:t>
      </w:r>
    </w:p>
    <w:p w:rsidR="00DC15A4" w:rsidRDefault="0037105C" w:rsidP="00915E7E">
      <w:pPr>
        <w:spacing w:after="0" w:line="240" w:lineRule="auto"/>
      </w:pPr>
      <w:r>
        <w:t xml:space="preserve">Overall, </w:t>
      </w:r>
      <w:r w:rsidR="009050C1">
        <w:t xml:space="preserve">this </w:t>
      </w:r>
      <w:r w:rsidR="00B46EDC">
        <w:t xml:space="preserve">brief </w:t>
      </w:r>
      <w:r w:rsidR="009050C1">
        <w:t xml:space="preserve">report provides promising support for the psychometric properties and performance of the </w:t>
      </w:r>
      <w:r w:rsidR="009050C1" w:rsidRPr="00C9583A">
        <w:t>SSDEP Survey: Student Version</w:t>
      </w:r>
      <w:r w:rsidR="009050C1">
        <w:t xml:space="preserve">. Confirmatory factor analytic evidence supported the proposed structure of the survey instrument, with all respective </w:t>
      </w:r>
      <w:r w:rsidR="007C711D">
        <w:t xml:space="preserve">items/item </w:t>
      </w:r>
      <w:r w:rsidR="009050C1">
        <w:t xml:space="preserve">sets loading cleanly and strongly onto each of the five categories: </w:t>
      </w:r>
      <w:r w:rsidR="009050C1" w:rsidRPr="004E43B4">
        <w:t>Commitment to the Ideals of the Teaching Profession</w:t>
      </w:r>
      <w:r w:rsidR="009050C1">
        <w:t xml:space="preserve"> (items 1-5);</w:t>
      </w:r>
      <w:r w:rsidR="009050C1">
        <w:t xml:space="preserve"> </w:t>
      </w:r>
      <w:r w:rsidR="009050C1" w:rsidRPr="004E43B4">
        <w:t>Commitment to Professional Ethical Standards</w:t>
      </w:r>
      <w:r w:rsidR="009050C1">
        <w:t xml:space="preserve"> (items 6-10); </w:t>
      </w:r>
      <w:r w:rsidR="009050C1" w:rsidRPr="004E43B4">
        <w:t>Commitment to Professional Knowledge</w:t>
      </w:r>
      <w:r w:rsidR="009050C1">
        <w:t xml:space="preserve"> (items 11-15); </w:t>
      </w:r>
      <w:r w:rsidR="009050C1" w:rsidRPr="004E43B4">
        <w:t>Commitment to the School Community</w:t>
      </w:r>
      <w:r w:rsidR="009050C1">
        <w:t xml:space="preserve"> (items 16-20); and </w:t>
      </w:r>
      <w:r w:rsidR="009050C1" w:rsidRPr="004E43B4">
        <w:t>Commitment to Professional Colleagues, Faculty, and Fellow Students</w:t>
      </w:r>
      <w:r w:rsidR="009050C1">
        <w:t xml:space="preserve"> (items 21-25)</w:t>
      </w:r>
      <w:r w:rsidR="009050C1" w:rsidRPr="00E90E54">
        <w:t>.</w:t>
      </w:r>
      <w:r w:rsidR="008755CA">
        <w:t xml:space="preserve"> Further, scores on the instrument demonstrated adequate </w:t>
      </w:r>
      <w:r w:rsidR="00493271">
        <w:t>reliability</w:t>
      </w:r>
      <w:r w:rsidR="008755CA">
        <w:t>, based on internal consistency reliability</w:t>
      </w:r>
      <w:r w:rsidR="006E753E">
        <w:t xml:space="preserve"> evidence</w:t>
      </w:r>
      <w:r w:rsidR="008755CA">
        <w:t xml:space="preserve">, both at the category/scale and overall instrument levels. </w:t>
      </w:r>
    </w:p>
    <w:p w:rsidR="00294793" w:rsidRDefault="00294793" w:rsidP="00915E7E">
      <w:pPr>
        <w:spacing w:after="0" w:line="240" w:lineRule="auto"/>
      </w:pPr>
    </w:p>
    <w:p w:rsidR="00294793" w:rsidRDefault="00294793" w:rsidP="00915E7E">
      <w:pPr>
        <w:spacing w:after="0" w:line="240" w:lineRule="auto"/>
      </w:pPr>
      <w:r>
        <w:t xml:space="preserve">Descriptively, scores fell at the higher end of the score scale for each dispositions commitment area, indicating </w:t>
      </w:r>
      <w:r w:rsidR="00DD3380">
        <w:t xml:space="preserve">perhaps unsurprisingly </w:t>
      </w:r>
      <w:r>
        <w:t>that students</w:t>
      </w:r>
      <w:r w:rsidR="00672021">
        <w:t>/candidates</w:t>
      </w:r>
      <w:r>
        <w:t xml:space="preserve"> provided strong ratings of their own dispositions. </w:t>
      </w:r>
      <w:r w:rsidR="00DD3380">
        <w:t>Importantly, however, scores across the five disposition</w:t>
      </w:r>
      <w:r w:rsidR="002C7571">
        <w:t>al</w:t>
      </w:r>
      <w:r w:rsidR="00DD3380">
        <w:t xml:space="preserve"> commitment areas were positively and moderately (if not strongly) correlated. This, in combination with the results of the confirmatory factor analysis, provides critical validity evidences based on both internal structure and relations to other variables (</w:t>
      </w:r>
      <w:r w:rsidR="00DD3380">
        <w:t xml:space="preserve">see </w:t>
      </w:r>
      <w:r w:rsidR="00DD3380" w:rsidRPr="008B77D6">
        <w:rPr>
          <w:i/>
        </w:rPr>
        <w:t>Standards for Educational and Psychological Testing</w:t>
      </w:r>
      <w:r w:rsidR="00DD3380">
        <w:t>, AERA, APA, NCME, 2014</w:t>
      </w:r>
      <w:r w:rsidR="00DD3380">
        <w:t xml:space="preserve">). </w:t>
      </w:r>
    </w:p>
    <w:p w:rsidR="00DD3380" w:rsidRDefault="00DD3380" w:rsidP="00915E7E">
      <w:pPr>
        <w:spacing w:after="0" w:line="240" w:lineRule="auto"/>
      </w:pPr>
    </w:p>
    <w:p w:rsidR="00DD3380" w:rsidRDefault="00DD3380" w:rsidP="00915E7E">
      <w:pPr>
        <w:spacing w:after="0" w:line="240" w:lineRule="auto"/>
      </w:pPr>
      <w:r>
        <w:t xml:space="preserve">Based in part on the findings of this analysis, the following next steps are supported to further evaluate and support the use of the </w:t>
      </w:r>
      <w:r w:rsidRPr="00C9583A">
        <w:t>SSDEP Survey: Student Version</w:t>
      </w:r>
      <w:r>
        <w:t>:</w:t>
      </w:r>
    </w:p>
    <w:p w:rsidR="00DD3380" w:rsidRDefault="00DD3380" w:rsidP="00915E7E">
      <w:pPr>
        <w:spacing w:after="0" w:line="240" w:lineRule="auto"/>
      </w:pPr>
    </w:p>
    <w:p w:rsidR="00DD3380" w:rsidRDefault="00DD3380" w:rsidP="00915E7E">
      <w:pPr>
        <w:spacing w:after="0" w:line="240" w:lineRule="auto"/>
      </w:pPr>
      <w:r>
        <w:t xml:space="preserve">1. </w:t>
      </w:r>
      <w:r w:rsidR="006F4E9F">
        <w:t xml:space="preserve">Reanalysis of data from the </w:t>
      </w:r>
      <w:r w:rsidR="006F4E9F" w:rsidRPr="00C9583A">
        <w:t>SSDEP Survey: Student Version</w:t>
      </w:r>
      <w:r w:rsidR="006F4E9F">
        <w:t xml:space="preserve">, based on the </w:t>
      </w:r>
      <w:r w:rsidR="00AF63F3">
        <w:t xml:space="preserve">broad </w:t>
      </w:r>
      <w:r w:rsidR="006F4E9F">
        <w:t xml:space="preserve">statistical procedures outlined above, is needed in subsequent semesters. </w:t>
      </w:r>
    </w:p>
    <w:p w:rsidR="00DD3380" w:rsidRDefault="00DD3380" w:rsidP="00915E7E">
      <w:pPr>
        <w:spacing w:after="0" w:line="240" w:lineRule="auto"/>
      </w:pPr>
    </w:p>
    <w:p w:rsidR="00DD3380" w:rsidRDefault="00DD3380" w:rsidP="00915E7E">
      <w:pPr>
        <w:spacing w:after="0" w:line="240" w:lineRule="auto"/>
      </w:pPr>
      <w:r>
        <w:t xml:space="preserve">2. </w:t>
      </w:r>
      <w:r w:rsidR="006F4E9F">
        <w:t xml:space="preserve">Agreement and evaluation of convergence between students’/candidates’ ratings of their own dispositions and select faculty ratings of those students’/candidates’’ dispositions is needed. </w:t>
      </w:r>
      <w:r w:rsidR="00680222">
        <w:t xml:space="preserve">Evidence of such agreement will provide key inter-rater reliability information that will serve to further support the use and analysis of data based on the </w:t>
      </w:r>
      <w:r w:rsidR="00680222" w:rsidRPr="00C9583A">
        <w:t>SSDEP Survey: Student Version</w:t>
      </w:r>
      <w:r w:rsidR="00680222">
        <w:t xml:space="preserve">. </w:t>
      </w:r>
    </w:p>
    <w:p w:rsidR="00DD3380" w:rsidRDefault="00DD3380" w:rsidP="00915E7E">
      <w:pPr>
        <w:spacing w:after="0" w:line="240" w:lineRule="auto"/>
      </w:pPr>
    </w:p>
    <w:p w:rsidR="00DD3380" w:rsidRDefault="00DD3380" w:rsidP="00915E7E">
      <w:pPr>
        <w:spacing w:after="0" w:line="240" w:lineRule="auto"/>
      </w:pPr>
      <w:r>
        <w:t xml:space="preserve">3. </w:t>
      </w:r>
      <w:r w:rsidR="00A45C4F">
        <w:t>Unit</w:t>
      </w:r>
      <w:r w:rsidR="009D0510">
        <w:t xml:space="preserve">-wide implementation of the </w:t>
      </w:r>
      <w:r w:rsidR="009D0510" w:rsidRPr="00C9583A">
        <w:t>SSDEP Survey: Student Version</w:t>
      </w:r>
      <w:r w:rsidR="009D0510">
        <w:t xml:space="preserve"> should be brought to scale to ensure data based on the </w:t>
      </w:r>
      <w:r w:rsidR="009D0510" w:rsidRPr="00C9583A">
        <w:t>SSDEP Survey: Student Version</w:t>
      </w:r>
      <w:r w:rsidR="009D0510">
        <w:t xml:space="preserve"> are being used effectively to support program entry, retention, and completion decisions as well as continuous improvement efforts that span curricular and applied settings and contexts. </w:t>
      </w:r>
    </w:p>
    <w:p w:rsidR="00915E7E" w:rsidRPr="00915E7E" w:rsidRDefault="00915E7E" w:rsidP="00915E7E">
      <w:pPr>
        <w:spacing w:after="0" w:line="240" w:lineRule="auto"/>
        <w:rPr>
          <w:rFonts w:cstheme="minorHAnsi"/>
        </w:rPr>
      </w:pPr>
    </w:p>
    <w:p w:rsidR="000B246F" w:rsidRDefault="000B246F" w:rsidP="00016CC7">
      <w:pPr>
        <w:spacing w:after="0" w:line="240" w:lineRule="auto"/>
        <w:rPr>
          <w:rFonts w:cstheme="minorHAnsi"/>
          <w:b/>
        </w:rPr>
      </w:pPr>
    </w:p>
    <w:p w:rsidR="000B246F" w:rsidRDefault="000B246F" w:rsidP="00016CC7">
      <w:pPr>
        <w:spacing w:after="0" w:line="240" w:lineRule="auto"/>
        <w:rPr>
          <w:rFonts w:cstheme="minorHAnsi"/>
          <w:b/>
        </w:rPr>
      </w:pPr>
    </w:p>
    <w:p w:rsidR="000B246F" w:rsidRDefault="000B246F" w:rsidP="00016CC7">
      <w:pPr>
        <w:spacing w:after="0" w:line="240" w:lineRule="auto"/>
        <w:rPr>
          <w:rFonts w:cstheme="minorHAnsi"/>
          <w:b/>
        </w:rPr>
      </w:pPr>
    </w:p>
    <w:p w:rsidR="000B246F" w:rsidRDefault="000B246F" w:rsidP="00AF5FBA">
      <w:pPr>
        <w:spacing w:after="0" w:line="240" w:lineRule="auto"/>
        <w:jc w:val="center"/>
        <w:rPr>
          <w:rFonts w:cstheme="minorHAnsi"/>
          <w:b/>
        </w:rPr>
      </w:pPr>
    </w:p>
    <w:p w:rsidR="00B41E4E" w:rsidRDefault="00B41E4E" w:rsidP="00AF5FBA">
      <w:pPr>
        <w:spacing w:after="0" w:line="240" w:lineRule="auto"/>
        <w:jc w:val="center"/>
        <w:rPr>
          <w:rFonts w:cstheme="minorHAnsi"/>
          <w:b/>
        </w:rPr>
      </w:pPr>
      <w:r w:rsidRPr="00915E7E">
        <w:rPr>
          <w:rFonts w:cstheme="minorHAnsi"/>
          <w:b/>
        </w:rPr>
        <w:lastRenderedPageBreak/>
        <w:t>References</w:t>
      </w:r>
    </w:p>
    <w:p w:rsidR="00915E7E" w:rsidRPr="00915E7E" w:rsidRDefault="00915E7E" w:rsidP="00AF5FBA">
      <w:pPr>
        <w:spacing w:after="0" w:line="240" w:lineRule="auto"/>
        <w:jc w:val="center"/>
        <w:rPr>
          <w:rFonts w:cstheme="minorHAnsi"/>
          <w:b/>
        </w:rPr>
      </w:pPr>
    </w:p>
    <w:p w:rsidR="00012A53" w:rsidRPr="00915E7E" w:rsidRDefault="00012A53" w:rsidP="00AF5FBA">
      <w:pPr>
        <w:spacing w:after="0" w:line="240" w:lineRule="auto"/>
        <w:rPr>
          <w:rFonts w:eastAsia="Times New Roman" w:cstheme="minorHAnsi"/>
          <w:color w:val="000000" w:themeColor="text1"/>
        </w:rPr>
      </w:pPr>
      <w:r w:rsidRPr="00915E7E">
        <w:rPr>
          <w:rFonts w:eastAsia="Times New Roman" w:cstheme="minorHAnsi"/>
          <w:color w:val="000000" w:themeColor="text1"/>
        </w:rPr>
        <w:t>Flora, D. B., &amp; Curran, P. J. (2004). An empirical evalua</w:t>
      </w:r>
      <w:r w:rsidR="00915E7E">
        <w:rPr>
          <w:rFonts w:eastAsia="Times New Roman" w:cstheme="minorHAnsi"/>
          <w:color w:val="000000" w:themeColor="text1"/>
        </w:rPr>
        <w:t xml:space="preserve">tion of alternative methods of </w:t>
      </w:r>
      <w:r w:rsidRPr="00915E7E">
        <w:rPr>
          <w:rFonts w:eastAsia="Times New Roman" w:cstheme="minorHAnsi"/>
          <w:color w:val="000000" w:themeColor="text1"/>
        </w:rPr>
        <w:t xml:space="preserve">estimation for confirmatory factor analysis with ordinal data. </w:t>
      </w:r>
      <w:r w:rsidRPr="00915E7E">
        <w:rPr>
          <w:rFonts w:eastAsia="Times New Roman" w:cstheme="minorHAnsi"/>
          <w:i/>
          <w:iCs/>
          <w:color w:val="000000" w:themeColor="text1"/>
        </w:rPr>
        <w:t>Psychological Methods</w:t>
      </w:r>
      <w:r w:rsidR="00915E7E">
        <w:rPr>
          <w:rFonts w:eastAsia="Times New Roman" w:cstheme="minorHAnsi"/>
          <w:color w:val="000000" w:themeColor="text1"/>
        </w:rPr>
        <w:t xml:space="preserve">, </w:t>
      </w:r>
      <w:r w:rsidRPr="00915E7E">
        <w:rPr>
          <w:rFonts w:eastAsia="Times New Roman" w:cstheme="minorHAnsi"/>
          <w:i/>
          <w:iCs/>
          <w:color w:val="000000" w:themeColor="text1"/>
        </w:rPr>
        <w:t>9</w:t>
      </w:r>
      <w:r w:rsidRPr="00915E7E">
        <w:rPr>
          <w:rFonts w:eastAsia="Times New Roman" w:cstheme="minorHAnsi"/>
          <w:color w:val="000000" w:themeColor="text1"/>
        </w:rPr>
        <w:t>(4), 466.</w:t>
      </w:r>
    </w:p>
    <w:p w:rsidR="00915E7E" w:rsidRDefault="00915E7E" w:rsidP="00AF5FBA">
      <w:pPr>
        <w:spacing w:after="0" w:line="240" w:lineRule="auto"/>
        <w:rPr>
          <w:rFonts w:eastAsia="Times New Roman" w:cstheme="minorHAnsi"/>
          <w:color w:val="000000" w:themeColor="text1"/>
        </w:rPr>
      </w:pPr>
    </w:p>
    <w:p w:rsidR="00B55D81" w:rsidRPr="00915E7E" w:rsidRDefault="00B55D81" w:rsidP="00AF5FBA">
      <w:pPr>
        <w:spacing w:after="0" w:line="240" w:lineRule="auto"/>
        <w:rPr>
          <w:rFonts w:eastAsia="Times New Roman" w:cstheme="minorHAnsi"/>
          <w:color w:val="000000" w:themeColor="text1"/>
        </w:rPr>
      </w:pPr>
      <w:r w:rsidRPr="00915E7E">
        <w:rPr>
          <w:rFonts w:eastAsia="Times New Roman" w:cstheme="minorHAnsi"/>
          <w:color w:val="000000" w:themeColor="text1"/>
        </w:rPr>
        <w:t>Hu, L. T., &amp; Bentler, P. M. (1999). Cutoff criteria for fit i</w:t>
      </w:r>
      <w:r w:rsidR="00915E7E">
        <w:rPr>
          <w:rFonts w:eastAsia="Times New Roman" w:cstheme="minorHAnsi"/>
          <w:color w:val="000000" w:themeColor="text1"/>
        </w:rPr>
        <w:t xml:space="preserve">ndexes in covariance structure </w:t>
      </w:r>
      <w:r w:rsidRPr="00915E7E">
        <w:rPr>
          <w:rFonts w:eastAsia="Times New Roman" w:cstheme="minorHAnsi"/>
          <w:color w:val="000000" w:themeColor="text1"/>
        </w:rPr>
        <w:t xml:space="preserve">analysis: Conventional criteria versus new alternatives. </w:t>
      </w:r>
      <w:r w:rsidR="00915E7E">
        <w:rPr>
          <w:rFonts w:eastAsia="Times New Roman" w:cstheme="minorHAnsi"/>
          <w:i/>
          <w:iCs/>
          <w:color w:val="000000" w:themeColor="text1"/>
        </w:rPr>
        <w:t xml:space="preserve">Structural Equation </w:t>
      </w:r>
      <w:r w:rsidRPr="00915E7E">
        <w:rPr>
          <w:rFonts w:eastAsia="Times New Roman" w:cstheme="minorHAnsi"/>
          <w:i/>
          <w:iCs/>
          <w:color w:val="000000" w:themeColor="text1"/>
        </w:rPr>
        <w:t>Modeling: A Multidisciplinary Journal</w:t>
      </w:r>
      <w:r w:rsidRPr="00915E7E">
        <w:rPr>
          <w:rFonts w:eastAsia="Times New Roman" w:cstheme="minorHAnsi"/>
          <w:color w:val="000000" w:themeColor="text1"/>
        </w:rPr>
        <w:t xml:space="preserve">, </w:t>
      </w:r>
      <w:r w:rsidRPr="00915E7E">
        <w:rPr>
          <w:rFonts w:eastAsia="Times New Roman" w:cstheme="minorHAnsi"/>
          <w:i/>
          <w:iCs/>
          <w:color w:val="000000" w:themeColor="text1"/>
        </w:rPr>
        <w:t>6</w:t>
      </w:r>
      <w:r w:rsidRPr="00915E7E">
        <w:rPr>
          <w:rFonts w:eastAsia="Times New Roman" w:cstheme="minorHAnsi"/>
          <w:color w:val="000000" w:themeColor="text1"/>
        </w:rPr>
        <w:t xml:space="preserve">(1), 1-55. </w:t>
      </w:r>
    </w:p>
    <w:p w:rsidR="00915E7E" w:rsidRDefault="00915E7E" w:rsidP="00AF5FBA">
      <w:pPr>
        <w:spacing w:after="0" w:line="240" w:lineRule="auto"/>
        <w:rPr>
          <w:rFonts w:eastAsia="Times New Roman" w:cstheme="minorHAnsi"/>
          <w:color w:val="000000" w:themeColor="text1"/>
        </w:rPr>
      </w:pPr>
    </w:p>
    <w:p w:rsidR="00012A53" w:rsidRPr="00915E7E" w:rsidRDefault="00012A53" w:rsidP="00AF5FBA">
      <w:pPr>
        <w:spacing w:after="0" w:line="240" w:lineRule="auto"/>
        <w:rPr>
          <w:rFonts w:eastAsia="Times New Roman" w:cstheme="minorHAnsi"/>
          <w:color w:val="000000" w:themeColor="text1"/>
        </w:rPr>
      </w:pPr>
      <w:r w:rsidRPr="00915E7E">
        <w:rPr>
          <w:rFonts w:eastAsia="Times New Roman" w:cstheme="minorHAnsi"/>
          <w:color w:val="000000" w:themeColor="text1"/>
        </w:rPr>
        <w:t xml:space="preserve">Li, C. H. (2014). </w:t>
      </w:r>
      <w:r w:rsidRPr="00915E7E">
        <w:rPr>
          <w:rFonts w:eastAsia="Times New Roman" w:cstheme="minorHAnsi"/>
          <w:i/>
          <w:iCs/>
          <w:color w:val="000000" w:themeColor="text1"/>
        </w:rPr>
        <w:t xml:space="preserve">The performance of MLR, USLMV, and </w:t>
      </w:r>
      <w:r w:rsidR="00915E7E">
        <w:rPr>
          <w:rFonts w:eastAsia="Times New Roman" w:cstheme="minorHAnsi"/>
          <w:i/>
          <w:iCs/>
          <w:color w:val="000000" w:themeColor="text1"/>
        </w:rPr>
        <w:t xml:space="preserve">WLSMV estimation in structural </w:t>
      </w:r>
      <w:r w:rsidRPr="00915E7E">
        <w:rPr>
          <w:rFonts w:eastAsia="Times New Roman" w:cstheme="minorHAnsi"/>
          <w:i/>
          <w:iCs/>
          <w:color w:val="000000" w:themeColor="text1"/>
        </w:rPr>
        <w:t>regression models with ordinal variables</w:t>
      </w:r>
      <w:r w:rsidRPr="00915E7E">
        <w:rPr>
          <w:rFonts w:eastAsia="Times New Roman" w:cstheme="minorHAnsi"/>
          <w:color w:val="000000" w:themeColor="text1"/>
        </w:rPr>
        <w:t xml:space="preserve"> (Doctora</w:t>
      </w:r>
      <w:r w:rsidR="00915E7E">
        <w:rPr>
          <w:rFonts w:eastAsia="Times New Roman" w:cstheme="minorHAnsi"/>
          <w:color w:val="000000" w:themeColor="text1"/>
        </w:rPr>
        <w:t xml:space="preserve">l dissertation, Michigan State </w:t>
      </w:r>
      <w:r w:rsidRPr="00915E7E">
        <w:rPr>
          <w:rFonts w:eastAsia="Times New Roman" w:cstheme="minorHAnsi"/>
          <w:color w:val="000000" w:themeColor="text1"/>
        </w:rPr>
        <w:t xml:space="preserve">University).  </w:t>
      </w:r>
    </w:p>
    <w:p w:rsidR="00915E7E" w:rsidRDefault="00915E7E" w:rsidP="00AF5FBA">
      <w:pPr>
        <w:spacing w:after="0" w:line="240" w:lineRule="auto"/>
        <w:rPr>
          <w:rFonts w:eastAsia="Times New Roman" w:cstheme="minorHAnsi"/>
          <w:color w:val="000000" w:themeColor="text1"/>
        </w:rPr>
      </w:pPr>
    </w:p>
    <w:p w:rsidR="00B41E4E" w:rsidRPr="00915E7E" w:rsidRDefault="00B41E4E" w:rsidP="00AF5FBA">
      <w:pPr>
        <w:spacing w:after="0" w:line="240" w:lineRule="auto"/>
        <w:rPr>
          <w:rFonts w:eastAsia="Times New Roman" w:cstheme="minorHAnsi"/>
          <w:color w:val="000000" w:themeColor="text1"/>
        </w:rPr>
      </w:pPr>
      <w:r w:rsidRPr="00915E7E">
        <w:rPr>
          <w:rFonts w:eastAsia="Times New Roman" w:cstheme="minorHAnsi"/>
          <w:color w:val="000000" w:themeColor="text1"/>
        </w:rPr>
        <w:t xml:space="preserve">Muthén, L. K., &amp; Muthén, B. O. (2010). </w:t>
      </w:r>
      <w:r w:rsidRPr="00915E7E">
        <w:rPr>
          <w:rFonts w:eastAsia="Times New Roman" w:cstheme="minorHAnsi"/>
          <w:i/>
          <w:iCs/>
          <w:color w:val="000000" w:themeColor="text1"/>
        </w:rPr>
        <w:t>Mplus User's Guide: St</w:t>
      </w:r>
      <w:r w:rsidR="00915E7E">
        <w:rPr>
          <w:rFonts w:eastAsia="Times New Roman" w:cstheme="minorHAnsi"/>
          <w:i/>
          <w:iCs/>
          <w:color w:val="000000" w:themeColor="text1"/>
        </w:rPr>
        <w:t xml:space="preserve">atistical Analysis with Latent </w:t>
      </w:r>
      <w:r w:rsidRPr="00915E7E">
        <w:rPr>
          <w:rFonts w:eastAsia="Times New Roman" w:cstheme="minorHAnsi"/>
          <w:i/>
          <w:iCs/>
          <w:color w:val="000000" w:themeColor="text1"/>
        </w:rPr>
        <w:t>Variables: User's Guide</w:t>
      </w:r>
      <w:r w:rsidRPr="00915E7E">
        <w:rPr>
          <w:rFonts w:eastAsia="Times New Roman" w:cstheme="minorHAnsi"/>
          <w:color w:val="000000" w:themeColor="text1"/>
        </w:rPr>
        <w:t>. Muthén &amp; Muthén.</w:t>
      </w:r>
    </w:p>
    <w:p w:rsidR="00915E7E" w:rsidRDefault="00915E7E" w:rsidP="00AF5FBA">
      <w:pPr>
        <w:spacing w:after="0" w:line="240" w:lineRule="auto"/>
        <w:rPr>
          <w:rFonts w:eastAsia="Times New Roman" w:cstheme="minorHAnsi"/>
          <w:color w:val="000000" w:themeColor="text1"/>
        </w:rPr>
      </w:pPr>
    </w:p>
    <w:p w:rsidR="00B41E4E" w:rsidRPr="00915E7E" w:rsidRDefault="00B41E4E" w:rsidP="00AF5FBA">
      <w:pPr>
        <w:spacing w:after="0" w:line="240" w:lineRule="auto"/>
        <w:rPr>
          <w:rFonts w:eastAsia="Times New Roman" w:cstheme="minorHAnsi"/>
          <w:color w:val="000000" w:themeColor="text1"/>
        </w:rPr>
      </w:pPr>
      <w:r w:rsidRPr="00915E7E">
        <w:rPr>
          <w:rFonts w:eastAsia="Times New Roman" w:cstheme="minorHAnsi"/>
          <w:color w:val="000000" w:themeColor="text1"/>
        </w:rPr>
        <w:t>Muthén, B. O., &amp; Muthén, L. K. (2012). Software Mplus Version 8.</w:t>
      </w:r>
    </w:p>
    <w:p w:rsidR="00915E7E" w:rsidRDefault="00915E7E" w:rsidP="00AF5FBA">
      <w:pPr>
        <w:spacing w:after="0" w:line="240" w:lineRule="auto"/>
        <w:rPr>
          <w:rFonts w:cstheme="minorHAnsi"/>
        </w:rPr>
      </w:pPr>
    </w:p>
    <w:p w:rsidR="00B41E4E" w:rsidRDefault="005B799B" w:rsidP="00AF5FBA">
      <w:pPr>
        <w:spacing w:after="0" w:line="240" w:lineRule="auto"/>
        <w:rPr>
          <w:rFonts w:cstheme="minorHAnsi"/>
        </w:rPr>
      </w:pPr>
      <w:r w:rsidRPr="00915E7E">
        <w:rPr>
          <w:rFonts w:cstheme="minorHAnsi"/>
        </w:rPr>
        <w:t xml:space="preserve">Yu, C. Y., &amp; Muthén, B. O. (2002). Evaluation of model fit indices for latent variable models with categorical and continuous outcomes. Los Angeles: University of California, Los </w:t>
      </w:r>
      <w:r w:rsidRPr="00915E7E">
        <w:rPr>
          <w:rFonts w:cstheme="minorHAnsi"/>
        </w:rPr>
        <w:tab/>
        <w:t>Angeles, Graduate School of Education and Information Studies.</w:t>
      </w:r>
    </w:p>
    <w:p w:rsidR="006444AA" w:rsidRPr="00915E7E" w:rsidRDefault="006444AA" w:rsidP="00AF5FBA">
      <w:pPr>
        <w:spacing w:after="0" w:line="240" w:lineRule="auto"/>
        <w:rPr>
          <w:rFonts w:cstheme="minorHAnsi"/>
        </w:rPr>
      </w:pPr>
    </w:p>
    <w:p w:rsidR="00915E7E" w:rsidRDefault="00915E7E" w:rsidP="00AF5FBA">
      <w:pPr>
        <w:spacing w:after="0"/>
        <w:jc w:val="center"/>
        <w:rPr>
          <w:rFonts w:cstheme="minorHAnsi"/>
          <w:b/>
        </w:rPr>
      </w:pPr>
      <w:r w:rsidRPr="00915E7E">
        <w:rPr>
          <w:rFonts w:cstheme="minorHAnsi"/>
          <w:b/>
        </w:rPr>
        <w:t>Notes</w:t>
      </w:r>
    </w:p>
    <w:p w:rsidR="006444AA" w:rsidRPr="00915E7E" w:rsidRDefault="006444AA" w:rsidP="00AF5FBA">
      <w:pPr>
        <w:spacing w:after="0"/>
        <w:jc w:val="center"/>
        <w:rPr>
          <w:rFonts w:cstheme="minorHAnsi"/>
          <w:b/>
        </w:rPr>
      </w:pPr>
    </w:p>
    <w:p w:rsidR="00915E7E" w:rsidRDefault="00915E7E" w:rsidP="00AF5FBA">
      <w:pPr>
        <w:spacing w:after="0"/>
        <w:rPr>
          <w:rFonts w:cstheme="minorHAnsi"/>
        </w:rPr>
      </w:pPr>
      <w:r w:rsidRPr="00915E7E">
        <w:rPr>
          <w:rFonts w:cstheme="minorHAnsi"/>
          <w:vertAlign w:val="superscript"/>
        </w:rPr>
        <w:t>1</w:t>
      </w:r>
      <w:r w:rsidRPr="00915E7E">
        <w:rPr>
          <w:rFonts w:cstheme="minorHAnsi"/>
        </w:rPr>
        <w:t xml:space="preserve">Internal consistency reliability was evaluated through calculation of Cronbach’s alpha as a lower-bound estimate of reliability. Cronbach’s alpha effectively evaluates the mean of all possible split-half correlations among items in an instrument. Standardized item alpha values were also computed and compared with Cronbach’s alpha values. </w:t>
      </w:r>
    </w:p>
    <w:p w:rsidR="00AF5FBA" w:rsidRPr="00915E7E" w:rsidRDefault="00AF5FBA" w:rsidP="00AF5FBA">
      <w:pPr>
        <w:spacing w:after="0"/>
        <w:rPr>
          <w:rFonts w:cstheme="minorHAnsi"/>
        </w:rPr>
      </w:pPr>
    </w:p>
    <w:p w:rsidR="00915E7E" w:rsidRDefault="00091A9B" w:rsidP="00AF5FBA">
      <w:pPr>
        <w:spacing w:after="0"/>
        <w:rPr>
          <w:sz w:val="21"/>
          <w:szCs w:val="21"/>
        </w:rPr>
      </w:pPr>
      <w:r>
        <w:rPr>
          <w:sz w:val="21"/>
          <w:szCs w:val="21"/>
          <w:vertAlign w:val="superscript"/>
        </w:rPr>
        <w:t>2</w:t>
      </w:r>
      <w:r w:rsidRPr="00452146">
        <w:rPr>
          <w:sz w:val="21"/>
          <w:szCs w:val="21"/>
        </w:rPr>
        <w:t xml:space="preserve">Given the nature of the data analyzed, both Pearson correlation coefficients and Spearman rank-order correlation coefficients were computed and compared. Findings with respect to the significance and magnitude of obtained correlations were similar across correlation type. </w:t>
      </w:r>
      <w:r>
        <w:rPr>
          <w:sz w:val="21"/>
          <w:szCs w:val="21"/>
        </w:rPr>
        <w:t xml:space="preserve"> </w:t>
      </w:r>
    </w:p>
    <w:p w:rsidR="008F7A2F" w:rsidRDefault="008F7A2F" w:rsidP="00AF5FBA">
      <w:pPr>
        <w:spacing w:after="0"/>
        <w:rPr>
          <w:sz w:val="21"/>
          <w:szCs w:val="21"/>
        </w:rPr>
      </w:pPr>
    </w:p>
    <w:p w:rsidR="008F7A2F" w:rsidRPr="00091A9B" w:rsidRDefault="008F7A2F" w:rsidP="00AF5FBA">
      <w:pPr>
        <w:spacing w:after="0"/>
        <w:rPr>
          <w:sz w:val="21"/>
          <w:szCs w:val="21"/>
        </w:rPr>
      </w:pPr>
    </w:p>
    <w:sectPr w:rsidR="008F7A2F" w:rsidRPr="00091A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DA" w:rsidRDefault="005D67DA" w:rsidP="005D67DA">
      <w:pPr>
        <w:spacing w:after="0" w:line="240" w:lineRule="auto"/>
      </w:pPr>
      <w:r>
        <w:separator/>
      </w:r>
    </w:p>
  </w:endnote>
  <w:endnote w:type="continuationSeparator" w:id="0">
    <w:p w:rsidR="005D67DA" w:rsidRDefault="005D67DA" w:rsidP="005D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DA" w:rsidRDefault="005D67DA" w:rsidP="005D67DA">
      <w:pPr>
        <w:spacing w:after="0" w:line="240" w:lineRule="auto"/>
      </w:pPr>
      <w:r>
        <w:separator/>
      </w:r>
    </w:p>
  </w:footnote>
  <w:footnote w:type="continuationSeparator" w:id="0">
    <w:p w:rsidR="005D67DA" w:rsidRDefault="005D67DA" w:rsidP="005D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47816"/>
      <w:docPartObj>
        <w:docPartGallery w:val="Page Numbers (Top of Page)"/>
        <w:docPartUnique/>
      </w:docPartObj>
    </w:sdtPr>
    <w:sdtEndPr>
      <w:rPr>
        <w:noProof/>
      </w:rPr>
    </w:sdtEndPr>
    <w:sdtContent>
      <w:p w:rsidR="005D67DA" w:rsidRDefault="00A911E4" w:rsidP="00A911E4">
        <w:pPr>
          <w:pStyle w:val="Header"/>
          <w:tabs>
            <w:tab w:val="left" w:pos="8327"/>
          </w:tabs>
          <w:jc w:val="right"/>
        </w:pPr>
        <w:r>
          <w:tab/>
          <w:t xml:space="preserve">Version date: 03/19/2019       </w:t>
        </w:r>
        <w:r w:rsidR="005D67DA">
          <w:fldChar w:fldCharType="begin"/>
        </w:r>
        <w:r w:rsidR="005D67DA">
          <w:instrText xml:space="preserve"> PAGE   \* MERGEFORMAT </w:instrText>
        </w:r>
        <w:r w:rsidR="005D67DA">
          <w:fldChar w:fldCharType="separate"/>
        </w:r>
        <w:r w:rsidR="00AA5B7E">
          <w:rPr>
            <w:noProof/>
          </w:rPr>
          <w:t>5</w:t>
        </w:r>
        <w:r w:rsidR="005D67DA">
          <w:rPr>
            <w:noProof/>
          </w:rPr>
          <w:fldChar w:fldCharType="end"/>
        </w:r>
      </w:p>
    </w:sdtContent>
  </w:sdt>
  <w:p w:rsidR="005D67DA" w:rsidRDefault="005D6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54"/>
    <w:rsid w:val="00012A53"/>
    <w:rsid w:val="00016CC7"/>
    <w:rsid w:val="00044023"/>
    <w:rsid w:val="00046C29"/>
    <w:rsid w:val="000557E3"/>
    <w:rsid w:val="000576E6"/>
    <w:rsid w:val="00073B97"/>
    <w:rsid w:val="000900EB"/>
    <w:rsid w:val="00091A9B"/>
    <w:rsid w:val="000A25D7"/>
    <w:rsid w:val="000A5771"/>
    <w:rsid w:val="000B0C74"/>
    <w:rsid w:val="000B246F"/>
    <w:rsid w:val="000B5329"/>
    <w:rsid w:val="000F273A"/>
    <w:rsid w:val="00120863"/>
    <w:rsid w:val="00164301"/>
    <w:rsid w:val="00166513"/>
    <w:rsid w:val="001E72AE"/>
    <w:rsid w:val="002060E9"/>
    <w:rsid w:val="002226D3"/>
    <w:rsid w:val="00265DD7"/>
    <w:rsid w:val="0028378E"/>
    <w:rsid w:val="00294793"/>
    <w:rsid w:val="002B17DA"/>
    <w:rsid w:val="002C0880"/>
    <w:rsid w:val="002C4627"/>
    <w:rsid w:val="002C7571"/>
    <w:rsid w:val="0032768F"/>
    <w:rsid w:val="00340450"/>
    <w:rsid w:val="00345049"/>
    <w:rsid w:val="0034518A"/>
    <w:rsid w:val="00350368"/>
    <w:rsid w:val="0037105C"/>
    <w:rsid w:val="003B476F"/>
    <w:rsid w:val="003C2A4B"/>
    <w:rsid w:val="003E071D"/>
    <w:rsid w:val="0040710A"/>
    <w:rsid w:val="00435A07"/>
    <w:rsid w:val="00451243"/>
    <w:rsid w:val="00457D86"/>
    <w:rsid w:val="00493271"/>
    <w:rsid w:val="004B38CA"/>
    <w:rsid w:val="004B5F27"/>
    <w:rsid w:val="004E43B4"/>
    <w:rsid w:val="00546F8B"/>
    <w:rsid w:val="00552DBE"/>
    <w:rsid w:val="0057265B"/>
    <w:rsid w:val="00582561"/>
    <w:rsid w:val="00590ED8"/>
    <w:rsid w:val="005A345C"/>
    <w:rsid w:val="005B5D20"/>
    <w:rsid w:val="005B799B"/>
    <w:rsid w:val="005C7C6F"/>
    <w:rsid w:val="005D67DA"/>
    <w:rsid w:val="005F4BF1"/>
    <w:rsid w:val="006024E4"/>
    <w:rsid w:val="00616766"/>
    <w:rsid w:val="006444AA"/>
    <w:rsid w:val="00654F0C"/>
    <w:rsid w:val="00657C3F"/>
    <w:rsid w:val="00672021"/>
    <w:rsid w:val="00680222"/>
    <w:rsid w:val="00687AE6"/>
    <w:rsid w:val="006B3F1B"/>
    <w:rsid w:val="006B63A7"/>
    <w:rsid w:val="006C3F0C"/>
    <w:rsid w:val="006D08A2"/>
    <w:rsid w:val="006E753E"/>
    <w:rsid w:val="006F4E9F"/>
    <w:rsid w:val="006F573F"/>
    <w:rsid w:val="007028B0"/>
    <w:rsid w:val="00704F6E"/>
    <w:rsid w:val="00705367"/>
    <w:rsid w:val="007107AC"/>
    <w:rsid w:val="00721CC1"/>
    <w:rsid w:val="00722AE3"/>
    <w:rsid w:val="00753344"/>
    <w:rsid w:val="00782ADE"/>
    <w:rsid w:val="00784404"/>
    <w:rsid w:val="00786843"/>
    <w:rsid w:val="007A6AAB"/>
    <w:rsid w:val="007B33C2"/>
    <w:rsid w:val="007B5BF8"/>
    <w:rsid w:val="007C5211"/>
    <w:rsid w:val="007C59D3"/>
    <w:rsid w:val="007C711D"/>
    <w:rsid w:val="007E264F"/>
    <w:rsid w:val="007F0BDC"/>
    <w:rsid w:val="00806180"/>
    <w:rsid w:val="00823BA6"/>
    <w:rsid w:val="00835ACF"/>
    <w:rsid w:val="00856AE4"/>
    <w:rsid w:val="00874774"/>
    <w:rsid w:val="008755CA"/>
    <w:rsid w:val="008947A6"/>
    <w:rsid w:val="008B77D6"/>
    <w:rsid w:val="008C03F0"/>
    <w:rsid w:val="008F3407"/>
    <w:rsid w:val="008F7603"/>
    <w:rsid w:val="008F7A2F"/>
    <w:rsid w:val="009050C1"/>
    <w:rsid w:val="00915E7E"/>
    <w:rsid w:val="0092206D"/>
    <w:rsid w:val="009273CE"/>
    <w:rsid w:val="00927FBB"/>
    <w:rsid w:val="00944A87"/>
    <w:rsid w:val="00947663"/>
    <w:rsid w:val="0095254C"/>
    <w:rsid w:val="009737E1"/>
    <w:rsid w:val="00974C7F"/>
    <w:rsid w:val="00976CF8"/>
    <w:rsid w:val="00984DB2"/>
    <w:rsid w:val="009A65A4"/>
    <w:rsid w:val="009D0510"/>
    <w:rsid w:val="00A1118A"/>
    <w:rsid w:val="00A1780A"/>
    <w:rsid w:val="00A43B3D"/>
    <w:rsid w:val="00A45C4F"/>
    <w:rsid w:val="00A45D44"/>
    <w:rsid w:val="00A65C42"/>
    <w:rsid w:val="00A83E4E"/>
    <w:rsid w:val="00A911E4"/>
    <w:rsid w:val="00A95B70"/>
    <w:rsid w:val="00AA4067"/>
    <w:rsid w:val="00AA5B7E"/>
    <w:rsid w:val="00AB277E"/>
    <w:rsid w:val="00AC639A"/>
    <w:rsid w:val="00AF5FBA"/>
    <w:rsid w:val="00AF63F3"/>
    <w:rsid w:val="00B41107"/>
    <w:rsid w:val="00B41E4E"/>
    <w:rsid w:val="00B46EDC"/>
    <w:rsid w:val="00B55D81"/>
    <w:rsid w:val="00B60332"/>
    <w:rsid w:val="00B6734A"/>
    <w:rsid w:val="00B827A7"/>
    <w:rsid w:val="00BA5947"/>
    <w:rsid w:val="00BA6294"/>
    <w:rsid w:val="00BE78D3"/>
    <w:rsid w:val="00C05176"/>
    <w:rsid w:val="00C33EC3"/>
    <w:rsid w:val="00C35B6D"/>
    <w:rsid w:val="00C6510A"/>
    <w:rsid w:val="00C84D98"/>
    <w:rsid w:val="00C93AB2"/>
    <w:rsid w:val="00C949F0"/>
    <w:rsid w:val="00C9583A"/>
    <w:rsid w:val="00CB269F"/>
    <w:rsid w:val="00CB4D80"/>
    <w:rsid w:val="00CC5183"/>
    <w:rsid w:val="00CD7D37"/>
    <w:rsid w:val="00CE56AD"/>
    <w:rsid w:val="00D91443"/>
    <w:rsid w:val="00D96E7D"/>
    <w:rsid w:val="00D974A3"/>
    <w:rsid w:val="00DB7510"/>
    <w:rsid w:val="00DC15A4"/>
    <w:rsid w:val="00DD2717"/>
    <w:rsid w:val="00DD3380"/>
    <w:rsid w:val="00E02265"/>
    <w:rsid w:val="00E35715"/>
    <w:rsid w:val="00E42A9D"/>
    <w:rsid w:val="00E82690"/>
    <w:rsid w:val="00E90E54"/>
    <w:rsid w:val="00E93538"/>
    <w:rsid w:val="00EB1715"/>
    <w:rsid w:val="00EB3743"/>
    <w:rsid w:val="00EF368C"/>
    <w:rsid w:val="00F118D8"/>
    <w:rsid w:val="00F17B77"/>
    <w:rsid w:val="00F337B7"/>
    <w:rsid w:val="00F34B88"/>
    <w:rsid w:val="00F52652"/>
    <w:rsid w:val="00F7480E"/>
    <w:rsid w:val="00F93FC3"/>
    <w:rsid w:val="00FA3A5B"/>
    <w:rsid w:val="00FA77FA"/>
    <w:rsid w:val="00FD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4BDF-F9D3-4286-83AE-5C73FA3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DA"/>
  </w:style>
  <w:style w:type="paragraph" w:styleId="Footer">
    <w:name w:val="footer"/>
    <w:basedOn w:val="Normal"/>
    <w:link w:val="FooterChar"/>
    <w:uiPriority w:val="99"/>
    <w:unhideWhenUsed/>
    <w:rsid w:val="005D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DA"/>
  </w:style>
  <w:style w:type="table" w:styleId="TableGrid">
    <w:name w:val="Table Grid"/>
    <w:basedOn w:val="TableNormal"/>
    <w:uiPriority w:val="39"/>
    <w:rsid w:val="00C3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1542">
      <w:bodyDiv w:val="1"/>
      <w:marLeft w:val="0"/>
      <w:marRight w:val="0"/>
      <w:marTop w:val="0"/>
      <w:marBottom w:val="0"/>
      <w:divBdr>
        <w:top w:val="none" w:sz="0" w:space="0" w:color="auto"/>
        <w:left w:val="none" w:sz="0" w:space="0" w:color="auto"/>
        <w:bottom w:val="none" w:sz="0" w:space="0" w:color="auto"/>
        <w:right w:val="none" w:sz="0" w:space="0" w:color="auto"/>
      </w:divBdr>
      <w:divsChild>
        <w:div w:id="2063483546">
          <w:marLeft w:val="0"/>
          <w:marRight w:val="0"/>
          <w:marTop w:val="0"/>
          <w:marBottom w:val="0"/>
          <w:divBdr>
            <w:top w:val="none" w:sz="0" w:space="0" w:color="auto"/>
            <w:left w:val="none" w:sz="0" w:space="0" w:color="auto"/>
            <w:bottom w:val="none" w:sz="0" w:space="0" w:color="auto"/>
            <w:right w:val="none" w:sz="0" w:space="0" w:color="auto"/>
          </w:divBdr>
        </w:div>
      </w:divsChild>
    </w:div>
    <w:div w:id="888034277">
      <w:bodyDiv w:val="1"/>
      <w:marLeft w:val="0"/>
      <w:marRight w:val="0"/>
      <w:marTop w:val="0"/>
      <w:marBottom w:val="0"/>
      <w:divBdr>
        <w:top w:val="none" w:sz="0" w:space="0" w:color="auto"/>
        <w:left w:val="none" w:sz="0" w:space="0" w:color="auto"/>
        <w:bottom w:val="none" w:sz="0" w:space="0" w:color="auto"/>
        <w:right w:val="none" w:sz="0" w:space="0" w:color="auto"/>
      </w:divBdr>
      <w:divsChild>
        <w:div w:id="1587614292">
          <w:marLeft w:val="0"/>
          <w:marRight w:val="0"/>
          <w:marTop w:val="0"/>
          <w:marBottom w:val="0"/>
          <w:divBdr>
            <w:top w:val="none" w:sz="0" w:space="0" w:color="auto"/>
            <w:left w:val="none" w:sz="0" w:space="0" w:color="auto"/>
            <w:bottom w:val="none" w:sz="0" w:space="0" w:color="auto"/>
            <w:right w:val="none" w:sz="0" w:space="0" w:color="auto"/>
          </w:divBdr>
        </w:div>
      </w:divsChild>
    </w:div>
    <w:div w:id="1535919172">
      <w:bodyDiv w:val="1"/>
      <w:marLeft w:val="0"/>
      <w:marRight w:val="0"/>
      <w:marTop w:val="0"/>
      <w:marBottom w:val="0"/>
      <w:divBdr>
        <w:top w:val="none" w:sz="0" w:space="0" w:color="auto"/>
        <w:left w:val="none" w:sz="0" w:space="0" w:color="auto"/>
        <w:bottom w:val="none" w:sz="0" w:space="0" w:color="auto"/>
        <w:right w:val="none" w:sz="0" w:space="0" w:color="auto"/>
      </w:divBdr>
    </w:div>
    <w:div w:id="2000310112">
      <w:bodyDiv w:val="1"/>
      <w:marLeft w:val="0"/>
      <w:marRight w:val="0"/>
      <w:marTop w:val="0"/>
      <w:marBottom w:val="0"/>
      <w:divBdr>
        <w:top w:val="none" w:sz="0" w:space="0" w:color="auto"/>
        <w:left w:val="none" w:sz="0" w:space="0" w:color="auto"/>
        <w:bottom w:val="none" w:sz="0" w:space="0" w:color="auto"/>
        <w:right w:val="none" w:sz="0" w:space="0" w:color="auto"/>
      </w:divBdr>
      <w:divsChild>
        <w:div w:id="54194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Follmer</dc:creator>
  <cp:keywords/>
  <dc:description/>
  <cp:lastModifiedBy>D. Jake Follmer</cp:lastModifiedBy>
  <cp:revision>27</cp:revision>
  <dcterms:created xsi:type="dcterms:W3CDTF">2019-03-19T14:07:00Z</dcterms:created>
  <dcterms:modified xsi:type="dcterms:W3CDTF">2019-03-19T14:18:00Z</dcterms:modified>
</cp:coreProperties>
</file>